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5E6" w:rsidRPr="008F65E6" w:rsidRDefault="008F65E6" w:rsidP="008F65E6">
      <w:pPr>
        <w:tabs>
          <w:tab w:val="left" w:pos="1134"/>
        </w:tabs>
        <w:jc w:val="center"/>
        <w:rPr>
          <w:i/>
          <w:iCs/>
          <w:szCs w:val="22"/>
        </w:rPr>
      </w:pPr>
      <w:bookmarkStart w:id="0" w:name="_GoBack"/>
      <w:bookmarkEnd w:id="0"/>
      <w:proofErr w:type="gramStart"/>
      <w:r w:rsidRPr="008F65E6">
        <w:rPr>
          <w:b/>
          <w:bCs/>
          <w:szCs w:val="22"/>
        </w:rPr>
        <w:t>Table 1.</w:t>
      </w:r>
      <w:proofErr w:type="gramEnd"/>
      <w:r w:rsidRPr="008F65E6">
        <w:rPr>
          <w:szCs w:val="22"/>
        </w:rPr>
        <w:t xml:space="preserve"> </w:t>
      </w:r>
      <w:r w:rsidRPr="008F65E6">
        <w:rPr>
          <w:i/>
          <w:iCs/>
          <w:szCs w:val="22"/>
        </w:rPr>
        <w:t>RL-related SHS subjects’ learning competencies and PISA 2018 RL framework parallelism</w:t>
      </w:r>
    </w:p>
    <w:p w:rsidR="004D6AE3" w:rsidRPr="008F65E6" w:rsidRDefault="004D6AE3">
      <w:pPr>
        <w:rPr>
          <w:sz w:val="28"/>
        </w:rPr>
      </w:pPr>
    </w:p>
    <w:tbl>
      <w:tblPr>
        <w:tblStyle w:val="TableGrid"/>
        <w:tblpPr w:leftFromText="180" w:rightFromText="180" w:vertAnchor="page" w:horzAnchor="margin" w:tblpY="2431"/>
        <w:tblW w:w="10438" w:type="dxa"/>
        <w:tblLook w:val="04A0" w:firstRow="1" w:lastRow="0" w:firstColumn="1" w:lastColumn="0" w:noHBand="0" w:noVBand="1"/>
      </w:tblPr>
      <w:tblGrid>
        <w:gridCol w:w="1252"/>
        <w:gridCol w:w="748"/>
        <w:gridCol w:w="1218"/>
        <w:gridCol w:w="1036"/>
        <w:gridCol w:w="98"/>
        <w:gridCol w:w="955"/>
        <w:gridCol w:w="1036"/>
        <w:gridCol w:w="1037"/>
        <w:gridCol w:w="1036"/>
        <w:gridCol w:w="1036"/>
        <w:gridCol w:w="986"/>
      </w:tblGrid>
      <w:tr w:rsidR="008F65E6" w:rsidRPr="008F65E6" w:rsidTr="008F65E6">
        <w:trPr>
          <w:trHeight w:val="505"/>
        </w:trPr>
        <w:tc>
          <w:tcPr>
            <w:tcW w:w="1252" w:type="dxa"/>
            <w:vMerge w:val="restart"/>
            <w:tcBorders>
              <w:top w:val="single" w:sz="12" w:space="0" w:color="auto"/>
              <w:left w:val="nil"/>
            </w:tcBorders>
            <w:textDirection w:val="btLr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ind w:left="113" w:right="113"/>
              <w:jc w:val="center"/>
              <w:rPr>
                <w:b/>
                <w:bCs/>
                <w:sz w:val="16"/>
                <w:szCs w:val="22"/>
              </w:rPr>
            </w:pPr>
            <w:r w:rsidRPr="008F65E6">
              <w:rPr>
                <w:b/>
                <w:bCs/>
                <w:sz w:val="16"/>
                <w:szCs w:val="22"/>
              </w:rPr>
              <w:t>RL-Related SHS Subjects</w:t>
            </w:r>
          </w:p>
        </w:tc>
        <w:tc>
          <w:tcPr>
            <w:tcW w:w="74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ind w:left="113" w:right="113"/>
              <w:jc w:val="center"/>
              <w:rPr>
                <w:b/>
                <w:bCs/>
                <w:sz w:val="16"/>
                <w:szCs w:val="22"/>
              </w:rPr>
            </w:pPr>
            <w:r w:rsidRPr="008F65E6">
              <w:rPr>
                <w:b/>
                <w:bCs/>
                <w:sz w:val="16"/>
                <w:szCs w:val="22"/>
              </w:rPr>
              <w:t>Total Number of  Learning Competencies per Subject (TLC)</w:t>
            </w:r>
          </w:p>
        </w:tc>
        <w:tc>
          <w:tcPr>
            <w:tcW w:w="121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ind w:left="113" w:right="113"/>
              <w:jc w:val="center"/>
              <w:rPr>
                <w:b/>
                <w:bCs/>
                <w:sz w:val="16"/>
                <w:szCs w:val="22"/>
              </w:rPr>
            </w:pPr>
            <w:r w:rsidRPr="008F65E6">
              <w:rPr>
                <w:b/>
                <w:bCs/>
                <w:sz w:val="16"/>
                <w:szCs w:val="22"/>
              </w:rPr>
              <w:t>Total Number of Learning Competencies Parallel to PISA 2018 RL Framework (TPLC)</w:t>
            </w:r>
          </w:p>
        </w:tc>
        <w:tc>
          <w:tcPr>
            <w:tcW w:w="7220" w:type="dxa"/>
            <w:gridSpan w:val="8"/>
            <w:tcBorders>
              <w:top w:val="single" w:sz="12" w:space="0" w:color="auto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b/>
                <w:bCs/>
                <w:sz w:val="16"/>
                <w:szCs w:val="22"/>
              </w:rPr>
            </w:pPr>
            <w:r w:rsidRPr="008F65E6">
              <w:rPr>
                <w:b/>
                <w:bCs/>
                <w:sz w:val="16"/>
                <w:szCs w:val="22"/>
              </w:rPr>
              <w:t>PISA 2018 Reading Literacy Skills (RLS)</w:t>
            </w:r>
          </w:p>
        </w:tc>
      </w:tr>
      <w:tr w:rsidR="008F65E6" w:rsidRPr="008F65E6" w:rsidTr="008F65E6">
        <w:trPr>
          <w:trHeight w:val="638"/>
        </w:trPr>
        <w:tc>
          <w:tcPr>
            <w:tcW w:w="1252" w:type="dxa"/>
            <w:vMerge/>
            <w:tcBorders>
              <w:lef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748" w:type="dxa"/>
            <w:vMerge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1218" w:type="dxa"/>
            <w:vMerge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b/>
                <w:bCs/>
                <w:sz w:val="16"/>
                <w:szCs w:val="22"/>
              </w:rPr>
            </w:pPr>
          </w:p>
        </w:tc>
        <w:tc>
          <w:tcPr>
            <w:tcW w:w="2089" w:type="dxa"/>
            <w:gridSpan w:val="3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b/>
                <w:bCs/>
                <w:sz w:val="16"/>
                <w:szCs w:val="22"/>
              </w:rPr>
            </w:pPr>
            <w:r w:rsidRPr="008F65E6">
              <w:rPr>
                <w:b/>
                <w:bCs/>
                <w:sz w:val="16"/>
                <w:szCs w:val="22"/>
              </w:rPr>
              <w:t>Locating Information</w:t>
            </w:r>
          </w:p>
        </w:tc>
        <w:tc>
          <w:tcPr>
            <w:tcW w:w="2073" w:type="dxa"/>
            <w:gridSpan w:val="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b/>
                <w:bCs/>
                <w:sz w:val="16"/>
                <w:szCs w:val="22"/>
              </w:rPr>
            </w:pPr>
            <w:r w:rsidRPr="008F65E6">
              <w:rPr>
                <w:b/>
                <w:bCs/>
                <w:sz w:val="16"/>
                <w:szCs w:val="22"/>
              </w:rPr>
              <w:t>Understanding</w:t>
            </w:r>
          </w:p>
        </w:tc>
        <w:tc>
          <w:tcPr>
            <w:tcW w:w="3058" w:type="dxa"/>
            <w:gridSpan w:val="3"/>
            <w:tcBorders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b/>
                <w:bCs/>
                <w:sz w:val="16"/>
                <w:szCs w:val="22"/>
              </w:rPr>
            </w:pPr>
            <w:r w:rsidRPr="008F65E6">
              <w:rPr>
                <w:b/>
                <w:bCs/>
                <w:sz w:val="16"/>
                <w:szCs w:val="22"/>
              </w:rPr>
              <w:t>Evaluating and Reflecting</w:t>
            </w:r>
          </w:p>
        </w:tc>
      </w:tr>
      <w:tr w:rsidR="008F65E6" w:rsidRPr="008F65E6" w:rsidTr="008F65E6">
        <w:trPr>
          <w:cantSplit/>
          <w:trHeight w:val="1812"/>
        </w:trPr>
        <w:tc>
          <w:tcPr>
            <w:tcW w:w="1252" w:type="dxa"/>
            <w:vMerge/>
            <w:tcBorders>
              <w:left w:val="nil"/>
              <w:bottom w:val="single" w:sz="12" w:space="0" w:color="auto"/>
            </w:tcBorders>
          </w:tcPr>
          <w:p w:rsidR="008F65E6" w:rsidRPr="008F65E6" w:rsidRDefault="008F65E6" w:rsidP="00B23B16">
            <w:pPr>
              <w:tabs>
                <w:tab w:val="left" w:pos="1134"/>
              </w:tabs>
              <w:rPr>
                <w:sz w:val="16"/>
                <w:szCs w:val="22"/>
              </w:rPr>
            </w:pPr>
          </w:p>
        </w:tc>
        <w:tc>
          <w:tcPr>
            <w:tcW w:w="748" w:type="dxa"/>
            <w:vMerge/>
            <w:tcBorders>
              <w:bottom w:val="single" w:sz="12" w:space="0" w:color="auto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</w:p>
        </w:tc>
        <w:tc>
          <w:tcPr>
            <w:tcW w:w="1218" w:type="dxa"/>
            <w:vMerge/>
            <w:tcBorders>
              <w:bottom w:val="single" w:sz="12" w:space="0" w:color="auto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textDirection w:val="btLr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ind w:left="113" w:right="113"/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Accessing and achieving information within a text</w:t>
            </w:r>
          </w:p>
        </w:tc>
        <w:tc>
          <w:tcPr>
            <w:tcW w:w="955" w:type="dxa"/>
            <w:tcBorders>
              <w:bottom w:val="single" w:sz="12" w:space="0" w:color="auto"/>
            </w:tcBorders>
            <w:textDirection w:val="btLr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ind w:left="113" w:right="113"/>
              <w:jc w:val="center"/>
              <w:rPr>
                <w:color w:val="000000"/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Searching for and selecting relevant text</w:t>
            </w:r>
          </w:p>
          <w:p w:rsidR="008F65E6" w:rsidRPr="008F65E6" w:rsidRDefault="008F65E6" w:rsidP="00B23B16">
            <w:pPr>
              <w:tabs>
                <w:tab w:val="left" w:pos="1134"/>
              </w:tabs>
              <w:ind w:left="113" w:right="113"/>
              <w:jc w:val="center"/>
              <w:rPr>
                <w:sz w:val="16"/>
                <w:szCs w:val="22"/>
              </w:rPr>
            </w:pPr>
          </w:p>
        </w:tc>
        <w:tc>
          <w:tcPr>
            <w:tcW w:w="1036" w:type="dxa"/>
            <w:tcBorders>
              <w:bottom w:val="single" w:sz="12" w:space="0" w:color="auto"/>
            </w:tcBorders>
            <w:textDirection w:val="btLr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ind w:left="113" w:right="113"/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Acquiring representation of literal meaning of a text</w:t>
            </w:r>
          </w:p>
        </w:tc>
        <w:tc>
          <w:tcPr>
            <w:tcW w:w="1036" w:type="dxa"/>
            <w:tcBorders>
              <w:bottom w:val="single" w:sz="12" w:space="0" w:color="auto"/>
            </w:tcBorders>
            <w:textDirection w:val="btLr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ind w:left="113" w:right="113"/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Integrating and generating inferences</w:t>
            </w:r>
          </w:p>
        </w:tc>
        <w:tc>
          <w:tcPr>
            <w:tcW w:w="1036" w:type="dxa"/>
            <w:tcBorders>
              <w:bottom w:val="single" w:sz="12" w:space="0" w:color="auto"/>
            </w:tcBorders>
            <w:textDirection w:val="btLr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ind w:left="113" w:right="113"/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Assessing of quality and credibility</w:t>
            </w:r>
          </w:p>
        </w:tc>
        <w:tc>
          <w:tcPr>
            <w:tcW w:w="1036" w:type="dxa"/>
            <w:tcBorders>
              <w:bottom w:val="single" w:sz="12" w:space="0" w:color="auto"/>
            </w:tcBorders>
            <w:textDirection w:val="btLr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ind w:left="113" w:right="113"/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Reflecting on content and form</w:t>
            </w:r>
          </w:p>
        </w:tc>
        <w:tc>
          <w:tcPr>
            <w:tcW w:w="985" w:type="dxa"/>
            <w:tcBorders>
              <w:bottom w:val="single" w:sz="12" w:space="0" w:color="auto"/>
              <w:right w:val="nil"/>
            </w:tcBorders>
            <w:textDirection w:val="btLr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ind w:left="113" w:right="113"/>
              <w:jc w:val="center"/>
              <w:rPr>
                <w:color w:val="000000"/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Detecting and handling conflict</w:t>
            </w:r>
          </w:p>
        </w:tc>
      </w:tr>
      <w:tr w:rsidR="008F65E6" w:rsidRPr="008F65E6" w:rsidTr="008F65E6">
        <w:trPr>
          <w:trHeight w:val="487"/>
        </w:trPr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rPr>
                <w:sz w:val="16"/>
                <w:szCs w:val="22"/>
              </w:rPr>
            </w:pPr>
            <w:r w:rsidRPr="008F65E6">
              <w:rPr>
                <w:sz w:val="16"/>
                <w:szCs w:val="22"/>
              </w:rPr>
              <w:t>Reading &amp; Writing Skills</w:t>
            </w:r>
          </w:p>
        </w:tc>
        <w:tc>
          <w:tcPr>
            <w:tcW w:w="74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sz w:val="16"/>
                <w:szCs w:val="22"/>
              </w:rPr>
              <w:t>13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sz w:val="16"/>
                <w:szCs w:val="22"/>
              </w:rPr>
              <w:t>9 (69.23%)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2</w:t>
            </w:r>
          </w:p>
        </w:tc>
        <w:tc>
          <w:tcPr>
            <w:tcW w:w="105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0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3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0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0</w:t>
            </w:r>
          </w:p>
        </w:tc>
        <w:tc>
          <w:tcPr>
            <w:tcW w:w="103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3</w:t>
            </w:r>
          </w:p>
        </w:tc>
        <w:tc>
          <w:tcPr>
            <w:tcW w:w="9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1</w:t>
            </w:r>
          </w:p>
        </w:tc>
      </w:tr>
      <w:tr w:rsidR="008F65E6" w:rsidRPr="008F65E6" w:rsidTr="008F65E6">
        <w:trPr>
          <w:trHeight w:val="50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rPr>
                <w:sz w:val="16"/>
                <w:szCs w:val="22"/>
              </w:rPr>
            </w:pPr>
            <w:r w:rsidRPr="008F65E6">
              <w:rPr>
                <w:sz w:val="16"/>
                <w:szCs w:val="22"/>
              </w:rPr>
              <w:t>21</w:t>
            </w:r>
            <w:r w:rsidRPr="008F65E6">
              <w:rPr>
                <w:sz w:val="16"/>
                <w:szCs w:val="22"/>
                <w:vertAlign w:val="superscript"/>
              </w:rPr>
              <w:t>st</w:t>
            </w:r>
            <w:r w:rsidRPr="008F65E6">
              <w:rPr>
                <w:sz w:val="16"/>
                <w:szCs w:val="22"/>
              </w:rPr>
              <w:t xml:space="preserve"> Century Literature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sz w:val="16"/>
                <w:szCs w:val="22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sz w:val="16"/>
                <w:szCs w:val="22"/>
              </w:rPr>
              <w:t>8 (36.36%)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0</w:t>
            </w:r>
          </w:p>
        </w:tc>
      </w:tr>
      <w:tr w:rsidR="008F65E6" w:rsidRPr="008F65E6" w:rsidTr="008F65E6">
        <w:trPr>
          <w:trHeight w:val="50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rPr>
                <w:sz w:val="16"/>
                <w:szCs w:val="22"/>
              </w:rPr>
            </w:pPr>
            <w:r w:rsidRPr="008F65E6">
              <w:rPr>
                <w:sz w:val="16"/>
                <w:szCs w:val="22"/>
              </w:rPr>
              <w:t>Media &amp; Information Literacy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sz w:val="16"/>
                <w:szCs w:val="22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sz w:val="16"/>
                <w:szCs w:val="22"/>
              </w:rPr>
              <w:t>16 (27.59%)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0</w:t>
            </w:r>
          </w:p>
        </w:tc>
      </w:tr>
      <w:tr w:rsidR="008F65E6" w:rsidRPr="008F65E6" w:rsidTr="008F65E6">
        <w:trPr>
          <w:trHeight w:val="487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rPr>
                <w:sz w:val="16"/>
                <w:szCs w:val="22"/>
              </w:rPr>
            </w:pPr>
            <w:r w:rsidRPr="008F65E6">
              <w:rPr>
                <w:sz w:val="16"/>
                <w:szCs w:val="22"/>
              </w:rPr>
              <w:t>English for Academic &amp; Professional Purposes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sz w:val="16"/>
                <w:szCs w:val="22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sz w:val="16"/>
                <w:szCs w:val="22"/>
              </w:rPr>
              <w:t>13 (36.11%)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0</w:t>
            </w:r>
          </w:p>
        </w:tc>
      </w:tr>
      <w:tr w:rsidR="008F65E6" w:rsidRPr="008F65E6" w:rsidTr="008F65E6">
        <w:trPr>
          <w:trHeight w:val="505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rPr>
                <w:sz w:val="16"/>
                <w:szCs w:val="22"/>
              </w:rPr>
            </w:pPr>
            <w:r w:rsidRPr="008F65E6">
              <w:rPr>
                <w:sz w:val="16"/>
                <w:szCs w:val="22"/>
              </w:rPr>
              <w:t>Practical Research 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sz w:val="16"/>
                <w:szCs w:val="22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sz w:val="16"/>
                <w:szCs w:val="22"/>
              </w:rPr>
              <w:t>7 (20.59%)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0</w:t>
            </w:r>
          </w:p>
        </w:tc>
      </w:tr>
      <w:tr w:rsidR="008F65E6" w:rsidRPr="008F65E6" w:rsidTr="008F65E6">
        <w:trPr>
          <w:trHeight w:val="505"/>
        </w:trPr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rPr>
                <w:sz w:val="16"/>
                <w:szCs w:val="22"/>
              </w:rPr>
            </w:pPr>
            <w:r w:rsidRPr="008F65E6">
              <w:rPr>
                <w:sz w:val="16"/>
                <w:szCs w:val="22"/>
              </w:rPr>
              <w:t>Practical Research 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sz w:val="16"/>
                <w:szCs w:val="22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sz w:val="16"/>
                <w:szCs w:val="22"/>
              </w:rPr>
              <w:t>4 (11.11%)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0</w:t>
            </w:r>
          </w:p>
        </w:tc>
      </w:tr>
      <w:tr w:rsidR="008F65E6" w:rsidRPr="008F65E6" w:rsidTr="008F65E6">
        <w:trPr>
          <w:trHeight w:val="505"/>
        </w:trPr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b/>
                <w:bCs/>
                <w:sz w:val="16"/>
                <w:szCs w:val="22"/>
              </w:rPr>
            </w:pPr>
            <w:r w:rsidRPr="008F65E6">
              <w:rPr>
                <w:b/>
                <w:bCs/>
                <w:sz w:val="16"/>
                <w:szCs w:val="22"/>
              </w:rPr>
              <w:t>TOTAL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199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 xml:space="preserve">57 </w:t>
            </w:r>
            <w:r w:rsidRPr="008F65E6">
              <w:rPr>
                <w:color w:val="000000"/>
                <w:sz w:val="16"/>
                <w:szCs w:val="22"/>
              </w:rPr>
              <w:br/>
              <w:t>(28.64%)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7 (12.28%)</w:t>
            </w: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9</w:t>
            </w:r>
            <w:r w:rsidRPr="008F65E6">
              <w:rPr>
                <w:color w:val="000000"/>
                <w:sz w:val="16"/>
                <w:szCs w:val="22"/>
              </w:rPr>
              <w:br/>
              <w:t>(15.79%)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9</w:t>
            </w:r>
            <w:r w:rsidRPr="008F65E6">
              <w:rPr>
                <w:color w:val="000000"/>
                <w:sz w:val="16"/>
                <w:szCs w:val="22"/>
              </w:rPr>
              <w:br/>
              <w:t>(15.79%)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10</w:t>
            </w:r>
            <w:r w:rsidRPr="008F65E6">
              <w:rPr>
                <w:color w:val="000000"/>
                <w:sz w:val="16"/>
                <w:szCs w:val="22"/>
              </w:rPr>
              <w:br/>
              <w:t>(17.54%)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6</w:t>
            </w:r>
            <w:r w:rsidRPr="008F65E6">
              <w:rPr>
                <w:color w:val="000000"/>
                <w:sz w:val="16"/>
                <w:szCs w:val="22"/>
              </w:rPr>
              <w:br/>
              <w:t>(10.53%)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15</w:t>
            </w:r>
            <w:r w:rsidRPr="008F65E6">
              <w:rPr>
                <w:color w:val="000000"/>
                <w:sz w:val="16"/>
                <w:szCs w:val="22"/>
              </w:rPr>
              <w:br/>
              <w:t>(26.32%)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F65E6" w:rsidRPr="008F65E6" w:rsidRDefault="008F65E6" w:rsidP="00B23B16">
            <w:pPr>
              <w:tabs>
                <w:tab w:val="left" w:pos="1134"/>
              </w:tabs>
              <w:jc w:val="center"/>
              <w:rPr>
                <w:sz w:val="16"/>
                <w:szCs w:val="22"/>
              </w:rPr>
            </w:pPr>
            <w:r w:rsidRPr="008F65E6">
              <w:rPr>
                <w:color w:val="000000"/>
                <w:sz w:val="16"/>
                <w:szCs w:val="22"/>
              </w:rPr>
              <w:t>1</w:t>
            </w:r>
            <w:r w:rsidRPr="008F65E6">
              <w:rPr>
                <w:color w:val="000000"/>
                <w:sz w:val="16"/>
                <w:szCs w:val="22"/>
              </w:rPr>
              <w:br/>
              <w:t>(1.75%)</w:t>
            </w:r>
          </w:p>
        </w:tc>
      </w:tr>
    </w:tbl>
    <w:p w:rsidR="008F65E6" w:rsidRPr="008F65E6" w:rsidRDefault="008F65E6">
      <w:pPr>
        <w:rPr>
          <w:sz w:val="28"/>
        </w:rPr>
      </w:pPr>
    </w:p>
    <w:sectPr w:rsidR="008F65E6" w:rsidRPr="008F6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E6"/>
    <w:rsid w:val="0008565F"/>
    <w:rsid w:val="004D6AE3"/>
    <w:rsid w:val="008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 </cp:lastModifiedBy>
  <cp:revision>2</cp:revision>
  <dcterms:created xsi:type="dcterms:W3CDTF">2020-08-13T12:34:00Z</dcterms:created>
  <dcterms:modified xsi:type="dcterms:W3CDTF">2020-08-13T12:34:00Z</dcterms:modified>
</cp:coreProperties>
</file>