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45B5" w:rsidRDefault="002545B5" w:rsidP="002545B5">
      <w:pPr>
        <w:spacing w:after="0" w:line="240" w:lineRule="auto"/>
        <w:jc w:val="center"/>
        <w:rPr>
          <w:rFonts w:ascii="Times New Roman" w:hAnsi="Times New Roman"/>
          <w:b/>
          <w:i/>
          <w:sz w:val="24"/>
          <w:szCs w:val="24"/>
        </w:rPr>
      </w:pPr>
    </w:p>
    <w:p w:rsidR="00FB1AD5" w:rsidRPr="002545B5" w:rsidRDefault="002545B5" w:rsidP="002545B5">
      <w:pPr>
        <w:spacing w:after="0" w:line="240" w:lineRule="auto"/>
        <w:jc w:val="center"/>
        <w:rPr>
          <w:rFonts w:ascii="Palatino Linotype" w:hAnsi="Palatino Linotype"/>
          <w:b/>
          <w:sz w:val="30"/>
          <w:szCs w:val="30"/>
        </w:rPr>
      </w:pPr>
      <w:r w:rsidRPr="002545B5">
        <w:rPr>
          <w:rFonts w:ascii="Palatino Linotype" w:hAnsi="Palatino Linotype"/>
          <w:b/>
          <w:i/>
          <w:sz w:val="30"/>
          <w:szCs w:val="30"/>
        </w:rPr>
        <w:t>A MODEL ISLAMIC CONSTITUTION</w:t>
      </w:r>
      <w:r w:rsidRPr="002545B5">
        <w:rPr>
          <w:rFonts w:ascii="Palatino Linotype" w:hAnsi="Palatino Linotype"/>
          <w:b/>
          <w:sz w:val="30"/>
          <w:szCs w:val="30"/>
          <w:lang w:val="id-ID"/>
        </w:rPr>
        <w:t xml:space="preserve"> </w:t>
      </w:r>
      <w:r w:rsidRPr="002545B5">
        <w:rPr>
          <w:rFonts w:ascii="Palatino Linotype" w:hAnsi="Palatino Linotype"/>
          <w:b/>
          <w:sz w:val="30"/>
          <w:szCs w:val="30"/>
        </w:rPr>
        <w:t>DALAM PENGAWALAN KONSTITUSI INDONESIA</w:t>
      </w:r>
      <w:r w:rsidR="00FB1AD5" w:rsidRPr="002545B5">
        <w:rPr>
          <w:rFonts w:ascii="Palatino Linotype" w:hAnsi="Palatino Linotype" w:cstheme="minorHAnsi"/>
          <w:noProof/>
          <w:sz w:val="30"/>
          <w:szCs w:val="30"/>
        </w:rPr>
        <mc:AlternateContent>
          <mc:Choice Requires="wps">
            <w:drawing>
              <wp:anchor distT="0" distB="0" distL="114300" distR="114300" simplePos="0" relativeHeight="251659264" behindDoc="0" locked="0" layoutInCell="1" allowOverlap="1" wp14:anchorId="60978080" wp14:editId="2F299993">
                <wp:simplePos x="0" y="0"/>
                <wp:positionH relativeFrom="column">
                  <wp:posOffset>217170</wp:posOffset>
                </wp:positionH>
                <wp:positionV relativeFrom="paragraph">
                  <wp:posOffset>-574675</wp:posOffset>
                </wp:positionV>
                <wp:extent cx="5372100" cy="527050"/>
                <wp:effectExtent l="0" t="0" r="0"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52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6973" w:rsidRPr="00D96973" w:rsidRDefault="00D96973" w:rsidP="00D96973">
                            <w:pPr>
                              <w:spacing w:after="120" w:line="240" w:lineRule="auto"/>
                              <w:jc w:val="center"/>
                              <w:rPr>
                                <w:b/>
                                <w:bCs/>
                              </w:rPr>
                            </w:pPr>
                            <w:r>
                              <w:rPr>
                                <w:b/>
                                <w:bCs/>
                              </w:rPr>
                              <w:t>AL DAULAH</w:t>
                            </w:r>
                            <w:r>
                              <w:rPr>
                                <w:b/>
                                <w:bCs/>
                                <w:lang w:val="id-ID"/>
                              </w:rPr>
                              <w:t xml:space="preserve"> : JURNAL </w:t>
                            </w:r>
                            <w:r>
                              <w:rPr>
                                <w:b/>
                                <w:bCs/>
                              </w:rPr>
                              <w:t>HUKUM PIDANA DAN KETATANEGARAAN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78080" id="Rectangle 1" o:spid="_x0000_s1026" style="position:absolute;left:0;text-align:left;margin-left:17.1pt;margin-top:-45.25pt;width:423pt;height: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" stroked="f">
                <v:textbox>
                  <w:txbxContent>
                    <w:p w:rsidR="00D96973" w:rsidRPr="00D96973" w:rsidRDefault="00D96973" w:rsidP="00D96973">
                      <w:pPr>
                        <w:spacing w:after="120" w:line="240" w:lineRule="auto"/>
                        <w:jc w:val="center"/>
                        <w:rPr>
                          <w:b/>
                          <w:bCs/>
                        </w:rPr>
                      </w:pPr>
                      <w:r>
                        <w:rPr>
                          <w:b/>
                          <w:bCs/>
                        </w:rPr>
                        <w:t>AL DAULAH</w:t>
                      </w:r>
                      <w:r>
                        <w:rPr>
                          <w:b/>
                          <w:bCs/>
                          <w:lang w:val="id-ID"/>
                        </w:rPr>
                        <w:t xml:space="preserve"> : JURNAL </w:t>
                      </w:r>
                      <w:r>
                        <w:rPr>
                          <w:b/>
                          <w:bCs/>
                        </w:rPr>
                        <w:t>HUKUM PIDANA DAN KETATANEGARAAN</w:t>
                      </w:r>
                    </w:p>
                  </w:txbxContent>
                </v:textbox>
              </v:rect>
            </w:pict>
          </mc:Fallback>
        </mc:AlternateContent>
      </w:r>
    </w:p>
    <w:p w:rsidR="002545B5" w:rsidRDefault="002545B5" w:rsidP="00FB1AD5">
      <w:pPr>
        <w:spacing w:after="120"/>
        <w:jc w:val="center"/>
        <w:rPr>
          <w:rFonts w:ascii="Palatino Linotype" w:hAnsi="Palatino Linotype"/>
          <w:b/>
          <w:sz w:val="24"/>
          <w:szCs w:val="24"/>
        </w:rPr>
      </w:pPr>
    </w:p>
    <w:p w:rsidR="00C20581" w:rsidRPr="002545B5" w:rsidRDefault="002545B5" w:rsidP="00FB1AD5">
      <w:pPr>
        <w:spacing w:after="120"/>
        <w:jc w:val="center"/>
        <w:rPr>
          <w:rFonts w:ascii="Italic" w:hAnsi="Italic"/>
          <w:b/>
          <w:sz w:val="24"/>
          <w:szCs w:val="24"/>
        </w:rPr>
      </w:pPr>
      <w:r w:rsidRPr="002545B5">
        <w:rPr>
          <w:rFonts w:ascii="Italic" w:hAnsi="Italic"/>
          <w:b/>
          <w:sz w:val="24"/>
          <w:szCs w:val="24"/>
        </w:rPr>
        <w:t>Sarip</w:t>
      </w:r>
      <w:r w:rsidR="00C20581" w:rsidRPr="002545B5">
        <w:rPr>
          <w:rFonts w:ascii="Italic" w:hAnsi="Italic"/>
          <w:b/>
          <w:sz w:val="24"/>
          <w:szCs w:val="24"/>
        </w:rPr>
        <w:t xml:space="preserve">* </w:t>
      </w:r>
    </w:p>
    <w:p w:rsidR="002545B5" w:rsidRDefault="00C20581" w:rsidP="00FB1AD5">
      <w:pPr>
        <w:spacing w:after="120"/>
        <w:jc w:val="center"/>
        <w:rPr>
          <w:rFonts w:ascii="Italic" w:hAnsi="Italic"/>
          <w:sz w:val="24"/>
          <w:szCs w:val="24"/>
        </w:rPr>
      </w:pPr>
      <w:r w:rsidRPr="002545B5">
        <w:rPr>
          <w:rFonts w:ascii="Italic" w:hAnsi="Italic"/>
          <w:sz w:val="24"/>
          <w:szCs w:val="24"/>
        </w:rPr>
        <w:t>*</w:t>
      </w:r>
      <w:r w:rsidR="002545B5" w:rsidRPr="002545B5">
        <w:rPr>
          <w:rFonts w:ascii="Italic" w:hAnsi="Italic"/>
          <w:sz w:val="24"/>
          <w:szCs w:val="24"/>
        </w:rPr>
        <w:t xml:space="preserve">Departemen Tata Negara </w:t>
      </w:r>
    </w:p>
    <w:p w:rsidR="002545B5" w:rsidRDefault="002545B5" w:rsidP="00FB1AD5">
      <w:pPr>
        <w:spacing w:after="120"/>
        <w:jc w:val="center"/>
        <w:rPr>
          <w:rFonts w:ascii="Italic" w:hAnsi="Italic"/>
          <w:sz w:val="24"/>
          <w:szCs w:val="24"/>
        </w:rPr>
      </w:pPr>
      <w:r w:rsidRPr="002545B5">
        <w:rPr>
          <w:rFonts w:ascii="Italic" w:hAnsi="Italic"/>
          <w:sz w:val="24"/>
          <w:szCs w:val="24"/>
        </w:rPr>
        <w:t>Fakultas Hukum Universitas Muhammadiyah Cirebon</w:t>
      </w:r>
      <w:r w:rsidR="00C20581" w:rsidRPr="002545B5">
        <w:rPr>
          <w:rFonts w:ascii="Italic" w:hAnsi="Italic"/>
          <w:sz w:val="24"/>
          <w:szCs w:val="24"/>
        </w:rPr>
        <w:t xml:space="preserve"> </w:t>
      </w:r>
    </w:p>
    <w:p w:rsidR="00C20581" w:rsidRPr="002545B5" w:rsidRDefault="00C20581" w:rsidP="00FB1AD5">
      <w:pPr>
        <w:spacing w:after="120"/>
        <w:jc w:val="center"/>
        <w:rPr>
          <w:rFonts w:ascii="Italic" w:hAnsi="Italic"/>
          <w:sz w:val="24"/>
          <w:szCs w:val="24"/>
        </w:rPr>
      </w:pPr>
      <w:r w:rsidRPr="002545B5">
        <w:rPr>
          <w:rFonts w:ascii="Italic" w:hAnsi="Italic"/>
          <w:sz w:val="24"/>
          <w:szCs w:val="24"/>
        </w:rPr>
        <w:t>Email</w:t>
      </w:r>
      <w:r w:rsidR="002545B5">
        <w:rPr>
          <w:rFonts w:ascii="Italic" w:hAnsi="Italic"/>
          <w:sz w:val="24"/>
          <w:szCs w:val="24"/>
        </w:rPr>
        <w:t>: sarip_anisa@yahoo.coid</w:t>
      </w:r>
    </w:p>
    <w:p w:rsidR="00E06302" w:rsidRPr="00A35978" w:rsidRDefault="00E06302" w:rsidP="002545B5">
      <w:pPr>
        <w:pBdr>
          <w:bottom w:val="single" w:sz="4" w:space="1" w:color="auto"/>
        </w:pBdr>
        <w:spacing w:after="120"/>
        <w:rPr>
          <w:rFonts w:ascii="Palatino Linotype" w:hAnsi="Palatino Linotype" w:cstheme="majorBidi"/>
          <w:i/>
          <w:sz w:val="24"/>
          <w:szCs w:val="24"/>
        </w:rPr>
      </w:pPr>
    </w:p>
    <w:p w:rsidR="00C43920" w:rsidRDefault="00C43920" w:rsidP="00C43920">
      <w:pPr>
        <w:jc w:val="center"/>
        <w:rPr>
          <w:b/>
        </w:rPr>
      </w:pPr>
    </w:p>
    <w:p w:rsidR="0095425D" w:rsidRPr="00C417DA" w:rsidRDefault="0095425D" w:rsidP="0095425D">
      <w:pPr>
        <w:widowControl w:val="0"/>
        <w:spacing w:before="240" w:line="260" w:lineRule="exact"/>
        <w:ind w:left="567" w:right="567"/>
        <w:jc w:val="center"/>
        <w:rPr>
          <w:rFonts w:cstheme="minorHAnsi"/>
          <w:sz w:val="24"/>
          <w:szCs w:val="24"/>
          <w:lang w:val="id-ID"/>
        </w:rPr>
      </w:pPr>
      <w:r w:rsidRPr="00C417DA">
        <w:rPr>
          <w:rFonts w:cstheme="minorHAnsi"/>
          <w:b/>
          <w:bCs/>
          <w:sz w:val="24"/>
          <w:szCs w:val="24"/>
          <w:lang w:val="id-ID"/>
        </w:rPr>
        <w:t>Abstrak</w:t>
      </w:r>
      <w:r w:rsidRPr="00C417DA">
        <w:rPr>
          <w:rFonts w:cstheme="minorHAnsi"/>
          <w:sz w:val="24"/>
          <w:szCs w:val="24"/>
          <w:lang w:val="id-ID"/>
        </w:rPr>
        <w:t>:</w:t>
      </w:r>
    </w:p>
    <w:p w:rsidR="002545B5" w:rsidRPr="007728F8" w:rsidRDefault="002545B5" w:rsidP="002545B5">
      <w:pPr>
        <w:spacing w:after="0" w:line="240" w:lineRule="auto"/>
        <w:jc w:val="both"/>
        <w:rPr>
          <w:sz w:val="24"/>
          <w:szCs w:val="24"/>
          <w:lang w:val="id-ID"/>
        </w:rPr>
      </w:pPr>
      <w:r w:rsidRPr="007728F8">
        <w:rPr>
          <w:sz w:val="24"/>
          <w:szCs w:val="24"/>
        </w:rPr>
        <w:t>K</w:t>
      </w:r>
      <w:r w:rsidRPr="007728F8">
        <w:rPr>
          <w:sz w:val="24"/>
          <w:szCs w:val="24"/>
          <w:lang w:val="id-ID"/>
        </w:rPr>
        <w:t xml:space="preserve">etatanegaraan </w:t>
      </w:r>
      <w:r w:rsidRPr="007728F8">
        <w:rPr>
          <w:sz w:val="24"/>
          <w:szCs w:val="24"/>
        </w:rPr>
        <w:t>Indonesia sejak reformasi terus mengalami perubahan terutatan tentang lembaga yang bertugas untuk menegakan hukum Nasional. Jauh sebelum reformasi, p</w:t>
      </w:r>
      <w:r w:rsidRPr="007728F8">
        <w:rPr>
          <w:sz w:val="24"/>
          <w:szCs w:val="24"/>
          <w:lang w:val="id-ID"/>
        </w:rPr>
        <w:t xml:space="preserve">ara pemikir negara Indonesia bersikeras untuk menambah kewenangan menguji materi undang-undang terhadap UUD 1945. Proses sejarah malahirkan pembentukan dual </w:t>
      </w:r>
      <w:r w:rsidRPr="007728F8">
        <w:rPr>
          <w:sz w:val="24"/>
          <w:szCs w:val="24"/>
        </w:rPr>
        <w:t>y</w:t>
      </w:r>
      <w:r w:rsidRPr="007728F8">
        <w:rPr>
          <w:sz w:val="24"/>
          <w:szCs w:val="24"/>
          <w:lang w:val="id-ID"/>
        </w:rPr>
        <w:t xml:space="preserve">udiction lembaga yudikatif direalisasikan kedalam dua  lembaga yudikatif yakni Supreme Court (MA) dan Contitutional Court (MK). </w:t>
      </w:r>
      <w:r w:rsidRPr="007728F8">
        <w:rPr>
          <w:sz w:val="24"/>
          <w:szCs w:val="24"/>
        </w:rPr>
        <w:t>P</w:t>
      </w:r>
      <w:r w:rsidRPr="007728F8">
        <w:rPr>
          <w:sz w:val="24"/>
          <w:szCs w:val="24"/>
          <w:lang w:val="id-ID"/>
        </w:rPr>
        <w:t>engaruh para pendiri negara Indonesia</w:t>
      </w:r>
      <w:r w:rsidRPr="007728F8">
        <w:rPr>
          <w:sz w:val="24"/>
          <w:szCs w:val="24"/>
        </w:rPr>
        <w:t xml:space="preserve"> </w:t>
      </w:r>
      <w:r w:rsidRPr="007728F8">
        <w:rPr>
          <w:sz w:val="24"/>
          <w:szCs w:val="24"/>
          <w:lang w:val="id-ID"/>
        </w:rPr>
        <w:t xml:space="preserve">menjadikan pembentukan lembaga yudikatif diwarnai berbagai pengaruh terutama dari negara-negara yang memiliki lembaga dalam menilai produk hukum yang dibuat oleh legislatif. </w:t>
      </w:r>
      <w:r w:rsidRPr="007728F8">
        <w:rPr>
          <w:sz w:val="24"/>
          <w:szCs w:val="24"/>
        </w:rPr>
        <w:t>Melalui teori Dual Yuridiction lembaga yudikatif sesua fakta ketatnegaraan Indonesia sangat menarik untuk mendapatkan perhatian. Teori tersebut digunakan sebagai pisau analisis untuk mengkaji permasalahan ketatanegaraan. Selain itu juga menggunakan penelitian yang meninjua dan mempelajari berbagai literatur yang berkaitan dengan pembahasan. L</w:t>
      </w:r>
      <w:r w:rsidRPr="007728F8">
        <w:rPr>
          <w:sz w:val="24"/>
          <w:szCs w:val="24"/>
          <w:lang w:val="id-ID"/>
        </w:rPr>
        <w:t xml:space="preserve">embaga yudikatif memiliki peran berbeda dan mempunyai tujuan yang sama yakni menegakkan hukum nasional. </w:t>
      </w:r>
      <w:r w:rsidRPr="007728F8">
        <w:rPr>
          <w:sz w:val="24"/>
          <w:szCs w:val="24"/>
        </w:rPr>
        <w:t>Sejarah</w:t>
      </w:r>
      <w:r w:rsidRPr="007728F8">
        <w:rPr>
          <w:sz w:val="24"/>
          <w:szCs w:val="24"/>
          <w:lang w:val="id-ID"/>
        </w:rPr>
        <w:t xml:space="preserve"> </w:t>
      </w:r>
      <w:r w:rsidRPr="007728F8">
        <w:rPr>
          <w:sz w:val="24"/>
          <w:szCs w:val="24"/>
        </w:rPr>
        <w:t xml:space="preserve">Ketatanegaran </w:t>
      </w:r>
      <w:r w:rsidRPr="007728F8">
        <w:rPr>
          <w:sz w:val="24"/>
          <w:szCs w:val="24"/>
          <w:lang w:val="id-ID"/>
        </w:rPr>
        <w:t xml:space="preserve">Indonesia pada dasarnya telah memainkan peranannya dalam perpolitikan di Indonesia. </w:t>
      </w:r>
      <w:r w:rsidRPr="007728F8">
        <w:rPr>
          <w:sz w:val="24"/>
          <w:szCs w:val="24"/>
        </w:rPr>
        <w:t xml:space="preserve">Ketatanegaraan Indonesia sendiri tidak terlepas dari pengaruh A Model Islamic Contitution pada amandemen. Hasilnya, Indonesia pada dasarnya bukan negara Islam melainkan negara yang mengadapsi beberapa ketentuan konstitusi Islam yang kemudian disesuaikan dengan ranah keIndonesiaan. </w:t>
      </w:r>
      <w:r w:rsidRPr="007728F8">
        <w:rPr>
          <w:sz w:val="24"/>
          <w:szCs w:val="24"/>
          <w:lang w:val="id-ID"/>
        </w:rPr>
        <w:t>Peran tersebut saat sekarang telah direalisasikan dalam sebuah lembaga yudikatif yakni Mahkamah Konstitusi Republik Indonesia sebagai amanah UUD 1945 hasil amandement.</w:t>
      </w:r>
    </w:p>
    <w:p w:rsidR="002545B5" w:rsidRPr="007728F8" w:rsidRDefault="002545B5" w:rsidP="002545B5">
      <w:pPr>
        <w:spacing w:after="0" w:line="240" w:lineRule="auto"/>
        <w:jc w:val="both"/>
        <w:rPr>
          <w:sz w:val="24"/>
          <w:szCs w:val="24"/>
          <w:lang w:val="id-ID"/>
        </w:rPr>
      </w:pPr>
    </w:p>
    <w:p w:rsidR="002545B5" w:rsidRPr="007728F8" w:rsidRDefault="002545B5" w:rsidP="002545B5">
      <w:pPr>
        <w:spacing w:after="0" w:line="240" w:lineRule="auto"/>
        <w:ind w:left="1260" w:hanging="1260"/>
        <w:jc w:val="both"/>
        <w:rPr>
          <w:sz w:val="24"/>
          <w:szCs w:val="24"/>
          <w:lang w:val="id-ID"/>
        </w:rPr>
      </w:pPr>
      <w:r w:rsidRPr="007728F8">
        <w:rPr>
          <w:sz w:val="24"/>
          <w:szCs w:val="24"/>
          <w:lang w:val="id-ID"/>
        </w:rPr>
        <w:t xml:space="preserve">Kata Kunci: </w:t>
      </w:r>
      <w:r w:rsidRPr="007728F8">
        <w:rPr>
          <w:sz w:val="24"/>
          <w:szCs w:val="24"/>
        </w:rPr>
        <w:t>A Model Islamic Contitution</w:t>
      </w:r>
      <w:r w:rsidRPr="007728F8">
        <w:rPr>
          <w:sz w:val="24"/>
          <w:szCs w:val="24"/>
          <w:lang w:val="id-ID"/>
        </w:rPr>
        <w:t xml:space="preserve">, </w:t>
      </w:r>
      <w:r w:rsidRPr="007728F8">
        <w:rPr>
          <w:sz w:val="24"/>
          <w:szCs w:val="24"/>
        </w:rPr>
        <w:t>Mahkamah Konstitusi</w:t>
      </w:r>
      <w:r w:rsidRPr="007728F8">
        <w:rPr>
          <w:sz w:val="24"/>
          <w:szCs w:val="24"/>
          <w:lang w:val="id-ID"/>
        </w:rPr>
        <w:t xml:space="preserve">, </w:t>
      </w:r>
      <w:r w:rsidRPr="007728F8">
        <w:rPr>
          <w:sz w:val="24"/>
          <w:szCs w:val="24"/>
        </w:rPr>
        <w:t>Mahkamah Agung</w:t>
      </w:r>
      <w:r w:rsidRPr="007728F8">
        <w:rPr>
          <w:sz w:val="24"/>
          <w:szCs w:val="24"/>
          <w:lang w:val="id-ID"/>
        </w:rPr>
        <w:t>, dual yuridiction.</w:t>
      </w:r>
    </w:p>
    <w:p w:rsidR="00143271" w:rsidRPr="007728F8" w:rsidRDefault="00143271" w:rsidP="0095425D">
      <w:pPr>
        <w:widowControl w:val="0"/>
        <w:spacing w:line="260" w:lineRule="exact"/>
        <w:ind w:left="567" w:right="567"/>
        <w:jc w:val="both"/>
        <w:rPr>
          <w:rFonts w:cstheme="minorHAnsi"/>
          <w:sz w:val="24"/>
          <w:szCs w:val="24"/>
        </w:rPr>
      </w:pPr>
    </w:p>
    <w:p w:rsidR="00143271" w:rsidRPr="007728F8" w:rsidRDefault="00143271" w:rsidP="00143271">
      <w:pPr>
        <w:widowControl w:val="0"/>
        <w:spacing w:before="240" w:line="260" w:lineRule="exact"/>
        <w:ind w:left="567" w:right="567"/>
        <w:jc w:val="center"/>
        <w:rPr>
          <w:rFonts w:cstheme="minorHAnsi"/>
          <w:i/>
          <w:sz w:val="24"/>
          <w:szCs w:val="24"/>
          <w:lang w:val="id-ID"/>
        </w:rPr>
      </w:pPr>
      <w:r w:rsidRPr="007728F8">
        <w:rPr>
          <w:rFonts w:cstheme="minorHAnsi"/>
          <w:b/>
          <w:bCs/>
          <w:i/>
          <w:sz w:val="24"/>
          <w:szCs w:val="24"/>
          <w:lang w:val="id-ID"/>
        </w:rPr>
        <w:t>Abstract</w:t>
      </w:r>
      <w:r w:rsidRPr="007728F8">
        <w:rPr>
          <w:rFonts w:cstheme="minorHAnsi"/>
          <w:i/>
          <w:sz w:val="24"/>
          <w:szCs w:val="24"/>
          <w:lang w:val="id-ID"/>
        </w:rPr>
        <w:t>:</w:t>
      </w:r>
    </w:p>
    <w:p w:rsidR="007728F8" w:rsidRPr="007728F8" w:rsidRDefault="007728F8" w:rsidP="007728F8">
      <w:pPr>
        <w:spacing w:after="0" w:line="240" w:lineRule="auto"/>
        <w:jc w:val="both"/>
        <w:rPr>
          <w:i/>
          <w:sz w:val="24"/>
          <w:szCs w:val="24"/>
          <w:lang w:val="en"/>
        </w:rPr>
      </w:pPr>
      <w:r w:rsidRPr="007728F8">
        <w:rPr>
          <w:i/>
          <w:sz w:val="24"/>
          <w:szCs w:val="24"/>
          <w:lang w:val="en"/>
        </w:rPr>
        <w:t xml:space="preserve">The Indonesian states of affairs since the reforms have continued to undergo a major change in the institutional capacity to uphold the national law. Long before the reforms, Indonesian </w:t>
      </w:r>
      <w:r w:rsidRPr="007728F8">
        <w:rPr>
          <w:i/>
          <w:sz w:val="24"/>
          <w:szCs w:val="24"/>
          <w:lang w:val="en"/>
        </w:rPr>
        <w:lastRenderedPageBreak/>
        <w:t>thinkers insisted on increasing the authority to examine legal materials against the 1945 Constitution. The historical process of establishing dual rudiction of judicial institutions was realized in two judicial institutions namely the Supreme Court (MA) and the Contitutional Court (MK). The influence of Indonesian founders makes the formation of a judiciary body colored by its influence, especially from countries that have institutions in assessing legal products made by the legislature. Through the theory of Dual Yuridiction the judiciary of all the facts of Indonesian nationalism is very interesting to get attention. The theory is used as an analysis knife to examine constitutional issues. Additionally, it also uses research to understand and study literature related to the discussion. The judiciary institution has a different role and has the same purpose of enforcing national law. Historical History of Indonesia has basically played its role in politics in Indonesia. The Indonesian constitution itself is independent of the influence of A Model Islamic Contitution on the amendment. As a result, Indonesia is basically not an Islamic state but a country that adopts some of the provisions of the Islamic constitution which is then adjusted to the realm of Indonesia. The role has now been realized in a judicial institution namely the Constitutional Court of the Republic of Indonesia as the mandate of the 1945 Constitution amandement.</w:t>
      </w:r>
    </w:p>
    <w:p w:rsidR="007728F8" w:rsidRPr="007728F8" w:rsidRDefault="007728F8" w:rsidP="007728F8">
      <w:pPr>
        <w:spacing w:after="0" w:line="240" w:lineRule="auto"/>
        <w:jc w:val="both"/>
        <w:rPr>
          <w:i/>
          <w:sz w:val="24"/>
          <w:szCs w:val="24"/>
          <w:lang w:val="en"/>
        </w:rPr>
      </w:pPr>
    </w:p>
    <w:p w:rsidR="00C324AC" w:rsidRPr="007728F8" w:rsidRDefault="007728F8" w:rsidP="007728F8">
      <w:pPr>
        <w:spacing w:after="0" w:line="240" w:lineRule="auto"/>
        <w:jc w:val="both"/>
        <w:rPr>
          <w:i/>
          <w:sz w:val="24"/>
          <w:szCs w:val="24"/>
        </w:rPr>
      </w:pPr>
      <w:r w:rsidRPr="007728F8">
        <w:rPr>
          <w:i/>
          <w:sz w:val="24"/>
          <w:szCs w:val="24"/>
          <w:lang w:val="en"/>
        </w:rPr>
        <w:t>Keyword: A Model Islamic Contitution, Constitutional Court, Supreme Court, dual yuridiction.</w:t>
      </w:r>
    </w:p>
    <w:p w:rsidR="00595936" w:rsidRPr="007728F8" w:rsidRDefault="00595936" w:rsidP="00C324AC">
      <w:pPr>
        <w:widowControl w:val="0"/>
        <w:spacing w:line="260" w:lineRule="exact"/>
        <w:ind w:left="567" w:right="567"/>
        <w:jc w:val="center"/>
        <w:rPr>
          <w:rFonts w:ascii="Palatino Linotype" w:hAnsi="Palatino Linotype" w:cstheme="minorHAnsi"/>
          <w:sz w:val="24"/>
          <w:szCs w:val="24"/>
        </w:rPr>
      </w:pPr>
    </w:p>
    <w:p w:rsidR="007728F8" w:rsidRPr="007728F8" w:rsidRDefault="007728F8" w:rsidP="007728F8">
      <w:pPr>
        <w:pStyle w:val="ListParagraph"/>
        <w:widowControl w:val="0"/>
        <w:numPr>
          <w:ilvl w:val="0"/>
          <w:numId w:val="4"/>
        </w:numPr>
        <w:spacing w:before="240" w:line="300" w:lineRule="exact"/>
        <w:ind w:left="426" w:hanging="426"/>
        <w:jc w:val="both"/>
        <w:rPr>
          <w:rFonts w:ascii="Palatino Linotype" w:hAnsi="Palatino Linotype" w:cs="Traditional Arabic"/>
          <w:b/>
          <w:bCs/>
          <w:sz w:val="24"/>
          <w:szCs w:val="24"/>
        </w:rPr>
      </w:pPr>
      <w:r w:rsidRPr="007728F8">
        <w:rPr>
          <w:rFonts w:ascii="Palatino Linotype" w:hAnsi="Palatino Linotype" w:cs="Traditional Arabic"/>
          <w:b/>
          <w:bCs/>
          <w:sz w:val="24"/>
          <w:szCs w:val="24"/>
        </w:rPr>
        <w:t>PENDAHULUAN</w:t>
      </w:r>
    </w:p>
    <w:p w:rsidR="007728F8" w:rsidRPr="007728F8" w:rsidRDefault="007728F8" w:rsidP="007728F8">
      <w:pPr>
        <w:tabs>
          <w:tab w:val="left" w:pos="567"/>
        </w:tabs>
        <w:spacing w:after="0" w:line="240" w:lineRule="auto"/>
        <w:ind w:firstLine="567"/>
        <w:jc w:val="both"/>
        <w:rPr>
          <w:rFonts w:ascii="Palatino Linotype" w:hAnsi="Palatino Linotype"/>
          <w:sz w:val="24"/>
          <w:szCs w:val="24"/>
        </w:rPr>
      </w:pPr>
      <w:r w:rsidRPr="007728F8">
        <w:rPr>
          <w:rFonts w:ascii="Palatino Linotype" w:hAnsi="Palatino Linotype"/>
          <w:sz w:val="24"/>
          <w:szCs w:val="24"/>
        </w:rPr>
        <w:t xml:space="preserve">Indonesia adalah negara kesatuan yang berbentuk </w:t>
      </w:r>
      <w:r w:rsidRPr="007728F8">
        <w:rPr>
          <w:rFonts w:ascii="Palatino Linotype" w:hAnsi="Palatino Linotype"/>
          <w:sz w:val="24"/>
          <w:szCs w:val="24"/>
          <w:lang w:val="id-ID"/>
        </w:rPr>
        <w:t>republik</w:t>
      </w:r>
      <w:r w:rsidRPr="007728F8">
        <w:rPr>
          <w:rFonts w:ascii="Palatino Linotype" w:hAnsi="Palatino Linotype"/>
          <w:sz w:val="24"/>
          <w:szCs w:val="24"/>
        </w:rPr>
        <w:t xml:space="preserve">, tekad bangsa Indonesia untuk menjadi </w:t>
      </w:r>
      <w:r w:rsidRPr="007728F8">
        <w:rPr>
          <w:rFonts w:ascii="Palatino Linotype" w:hAnsi="Palatino Linotype"/>
          <w:i/>
          <w:sz w:val="24"/>
          <w:szCs w:val="24"/>
        </w:rPr>
        <w:t>nation state</w:t>
      </w:r>
      <w:r w:rsidRPr="007728F8">
        <w:rPr>
          <w:rFonts w:ascii="Palatino Linotype" w:hAnsi="Palatino Linotype"/>
          <w:sz w:val="24"/>
          <w:szCs w:val="24"/>
        </w:rPr>
        <w:t>.</w:t>
      </w:r>
      <w:r w:rsidRPr="007728F8">
        <w:rPr>
          <w:rFonts w:ascii="Palatino Linotype" w:hAnsi="Palatino Linotype"/>
          <w:sz w:val="24"/>
          <w:szCs w:val="24"/>
          <w:lang w:val="id-ID"/>
        </w:rPr>
        <w:t xml:space="preserve"> </w:t>
      </w:r>
      <w:r w:rsidRPr="007728F8">
        <w:rPr>
          <w:rFonts w:ascii="Palatino Linotype" w:hAnsi="Palatino Linotype"/>
          <w:sz w:val="24"/>
          <w:szCs w:val="24"/>
        </w:rPr>
        <w:t>Negara h</w:t>
      </w:r>
      <w:r w:rsidRPr="007728F8">
        <w:rPr>
          <w:rFonts w:ascii="Palatino Linotype" w:hAnsi="Palatino Linotype"/>
          <w:sz w:val="24"/>
          <w:szCs w:val="24"/>
          <w:lang w:val="id-ID"/>
        </w:rPr>
        <w:t>ukum</w:t>
      </w:r>
      <w:r w:rsidRPr="007728F8">
        <w:rPr>
          <w:rFonts w:ascii="Palatino Linotype" w:hAnsi="Palatino Linotype"/>
          <w:sz w:val="24"/>
          <w:szCs w:val="24"/>
        </w:rPr>
        <w:t xml:space="preserve"> dalam doktrin </w:t>
      </w:r>
      <w:r w:rsidRPr="007728F8">
        <w:rPr>
          <w:rFonts w:ascii="Palatino Linotype" w:hAnsi="Palatino Linotype"/>
          <w:i/>
          <w:sz w:val="24"/>
          <w:szCs w:val="24"/>
        </w:rPr>
        <w:t>trias politica</w:t>
      </w:r>
      <w:r w:rsidRPr="007728F8">
        <w:rPr>
          <w:rFonts w:ascii="Palatino Linotype" w:hAnsi="Palatino Linotype"/>
          <w:sz w:val="24"/>
          <w:szCs w:val="24"/>
        </w:rPr>
        <w:t xml:space="preserve"> memiliki </w:t>
      </w:r>
      <w:r w:rsidRPr="007728F8">
        <w:rPr>
          <w:rFonts w:ascii="Palatino Linotype" w:hAnsi="Palatino Linotype"/>
          <w:sz w:val="24"/>
          <w:szCs w:val="24"/>
          <w:lang w:val="id-ID"/>
        </w:rPr>
        <w:t>legislatif</w:t>
      </w:r>
      <w:r w:rsidRPr="007728F8">
        <w:rPr>
          <w:rFonts w:ascii="Palatino Linotype" w:hAnsi="Palatino Linotype"/>
          <w:sz w:val="24"/>
          <w:szCs w:val="24"/>
        </w:rPr>
        <w:t xml:space="preserve"> yang berfungsi sebagai pembuat hukum</w:t>
      </w:r>
      <w:r w:rsidRPr="007728F8">
        <w:rPr>
          <w:rFonts w:ascii="Palatino Linotype" w:hAnsi="Palatino Linotype"/>
          <w:sz w:val="24"/>
          <w:szCs w:val="24"/>
          <w:lang w:val="id-ID"/>
        </w:rPr>
        <w:t xml:space="preserve">, </w:t>
      </w:r>
      <w:r w:rsidRPr="007728F8">
        <w:rPr>
          <w:rFonts w:ascii="Palatino Linotype" w:hAnsi="Palatino Linotype"/>
          <w:sz w:val="24"/>
          <w:szCs w:val="24"/>
        </w:rPr>
        <w:t>eksekutif sebagai pelaksana, dan yudikatif sebagai lembaga penjaga produk hukum</w:t>
      </w:r>
      <w:r w:rsidRPr="007728F8">
        <w:rPr>
          <w:rFonts w:ascii="Palatino Linotype" w:hAnsi="Palatino Linotype"/>
          <w:sz w:val="24"/>
          <w:szCs w:val="24"/>
          <w:lang w:val="id-ID"/>
        </w:rPr>
        <w:t>.</w:t>
      </w:r>
      <w:r w:rsidRPr="007728F8">
        <w:rPr>
          <w:rStyle w:val="FootnoteReference"/>
          <w:rFonts w:ascii="Palatino Linotype" w:hAnsi="Palatino Linotype"/>
          <w:sz w:val="24"/>
          <w:szCs w:val="24"/>
          <w:lang w:val="id-ID"/>
        </w:rPr>
        <w:footnoteReference w:id="1"/>
      </w:r>
      <w:r w:rsidRPr="007728F8">
        <w:rPr>
          <w:rFonts w:ascii="Palatino Linotype" w:hAnsi="Palatino Linotype"/>
          <w:sz w:val="24"/>
          <w:szCs w:val="24"/>
          <w:lang w:val="id-ID"/>
        </w:rPr>
        <w:t xml:space="preserve"> </w:t>
      </w:r>
      <w:r w:rsidRPr="007728F8">
        <w:rPr>
          <w:rFonts w:ascii="Palatino Linotype" w:hAnsi="Palatino Linotype"/>
          <w:sz w:val="24"/>
          <w:szCs w:val="24"/>
        </w:rPr>
        <w:t>Y</w:t>
      </w:r>
      <w:r w:rsidRPr="007728F8">
        <w:rPr>
          <w:rFonts w:ascii="Palatino Linotype" w:hAnsi="Palatino Linotype"/>
          <w:sz w:val="24"/>
          <w:szCs w:val="24"/>
          <w:lang w:val="id-ID"/>
        </w:rPr>
        <w:t xml:space="preserve">udikatif memiliki peran mengadili terhadap pelanggaran produk hukum yang telah ditetapkan oleh </w:t>
      </w:r>
      <w:r w:rsidRPr="007728F8">
        <w:rPr>
          <w:rFonts w:ascii="Palatino Linotype" w:hAnsi="Palatino Linotype"/>
          <w:sz w:val="24"/>
          <w:szCs w:val="24"/>
        </w:rPr>
        <w:t>legislatif</w:t>
      </w:r>
      <w:r w:rsidRPr="007728F8">
        <w:rPr>
          <w:rFonts w:ascii="Palatino Linotype" w:hAnsi="Palatino Linotype"/>
          <w:sz w:val="24"/>
          <w:szCs w:val="24"/>
          <w:lang w:val="id-ID"/>
        </w:rPr>
        <w:t xml:space="preserve">. Amandemen UUD 1945 </w:t>
      </w:r>
      <w:r w:rsidRPr="007728F8">
        <w:rPr>
          <w:rFonts w:ascii="Palatino Linotype" w:hAnsi="Palatino Linotype"/>
          <w:sz w:val="24"/>
          <w:szCs w:val="24"/>
        </w:rPr>
        <w:t xml:space="preserve">Negara Kesatuan </w:t>
      </w:r>
      <w:r w:rsidRPr="007728F8">
        <w:rPr>
          <w:rFonts w:ascii="Palatino Linotype" w:hAnsi="Palatino Linotype"/>
          <w:sz w:val="24"/>
          <w:szCs w:val="24"/>
          <w:lang w:val="id-ID"/>
        </w:rPr>
        <w:t xml:space="preserve">Republik Indonesia </w:t>
      </w:r>
      <w:r w:rsidRPr="007728F8">
        <w:rPr>
          <w:rFonts w:ascii="Palatino Linotype" w:hAnsi="Palatino Linotype"/>
          <w:sz w:val="24"/>
          <w:szCs w:val="24"/>
        </w:rPr>
        <w:t xml:space="preserve">(NKRI) </w:t>
      </w:r>
      <w:r w:rsidRPr="007728F8">
        <w:rPr>
          <w:rFonts w:ascii="Palatino Linotype" w:hAnsi="Palatino Linotype"/>
          <w:sz w:val="24"/>
          <w:szCs w:val="24"/>
          <w:lang w:val="id-ID"/>
        </w:rPr>
        <w:t xml:space="preserve">mempengaruhi </w:t>
      </w:r>
      <w:r w:rsidRPr="007728F8">
        <w:rPr>
          <w:rFonts w:ascii="Palatino Linotype" w:hAnsi="Palatino Linotype"/>
          <w:sz w:val="24"/>
          <w:szCs w:val="24"/>
        </w:rPr>
        <w:t xml:space="preserve">lembaga </w:t>
      </w:r>
      <w:r w:rsidRPr="007728F8">
        <w:rPr>
          <w:rFonts w:ascii="Palatino Linotype" w:hAnsi="Palatino Linotype"/>
          <w:sz w:val="24"/>
          <w:szCs w:val="24"/>
          <w:lang w:val="id-ID"/>
        </w:rPr>
        <w:t xml:space="preserve">yudikatif </w:t>
      </w:r>
      <w:r w:rsidRPr="007728F8">
        <w:rPr>
          <w:rFonts w:ascii="Palatino Linotype" w:hAnsi="Palatino Linotype"/>
          <w:sz w:val="24"/>
          <w:szCs w:val="24"/>
        </w:rPr>
        <w:t>yakni Mahkamah Agung (MA) dan Mahkamah Konstitusi (MK).</w:t>
      </w:r>
      <w:r w:rsidRPr="007728F8">
        <w:rPr>
          <w:rStyle w:val="FootnoteReference"/>
          <w:rFonts w:ascii="Palatino Linotype" w:hAnsi="Palatino Linotype"/>
          <w:sz w:val="24"/>
          <w:szCs w:val="24"/>
        </w:rPr>
        <w:footnoteReference w:id="2"/>
      </w:r>
      <w:r w:rsidRPr="007728F8">
        <w:rPr>
          <w:rFonts w:ascii="Palatino Linotype" w:hAnsi="Palatino Linotype"/>
          <w:sz w:val="24"/>
          <w:szCs w:val="24"/>
          <w:lang w:val="id-ID"/>
        </w:rPr>
        <w:t xml:space="preserve"> </w:t>
      </w:r>
      <w:r w:rsidRPr="007728F8">
        <w:rPr>
          <w:rFonts w:ascii="Palatino Linotype" w:hAnsi="Palatino Linotype"/>
          <w:sz w:val="24"/>
          <w:szCs w:val="24"/>
        </w:rPr>
        <w:t xml:space="preserve">MK </w:t>
      </w:r>
      <w:r w:rsidRPr="007728F8">
        <w:rPr>
          <w:rFonts w:ascii="Palatino Linotype" w:hAnsi="Palatino Linotype"/>
          <w:sz w:val="24"/>
          <w:szCs w:val="24"/>
          <w:lang w:val="id-ID"/>
        </w:rPr>
        <w:t>bertugas untuk mengawal konstitusi</w:t>
      </w:r>
      <w:r w:rsidRPr="007728F8">
        <w:rPr>
          <w:rFonts w:ascii="Palatino Linotype" w:hAnsi="Palatino Linotype"/>
          <w:sz w:val="24"/>
          <w:szCs w:val="24"/>
        </w:rPr>
        <w:t xml:space="preserve"> atau yang sering dikenal dengan UUD 1945 di Indonesia</w:t>
      </w:r>
      <w:r w:rsidRPr="007728F8">
        <w:rPr>
          <w:rFonts w:ascii="Palatino Linotype" w:hAnsi="Palatino Linotype"/>
          <w:sz w:val="24"/>
          <w:szCs w:val="24"/>
          <w:lang w:val="id-ID"/>
        </w:rPr>
        <w:t>.</w:t>
      </w:r>
      <w:r w:rsidRPr="007728F8">
        <w:rPr>
          <w:rStyle w:val="FootnoteReference"/>
          <w:rFonts w:ascii="Palatino Linotype" w:hAnsi="Palatino Linotype"/>
          <w:sz w:val="24"/>
          <w:szCs w:val="24"/>
          <w:lang w:val="id-ID"/>
        </w:rPr>
        <w:footnoteReference w:id="3"/>
      </w:r>
      <w:r w:rsidRPr="007728F8">
        <w:rPr>
          <w:rFonts w:ascii="Palatino Linotype" w:hAnsi="Palatino Linotype"/>
          <w:sz w:val="24"/>
          <w:szCs w:val="24"/>
        </w:rPr>
        <w:t xml:space="preserve"> </w:t>
      </w:r>
    </w:p>
    <w:p w:rsidR="007728F8" w:rsidRPr="007728F8" w:rsidRDefault="007728F8" w:rsidP="007728F8">
      <w:pPr>
        <w:tabs>
          <w:tab w:val="left" w:pos="567"/>
        </w:tabs>
        <w:spacing w:after="0" w:line="240" w:lineRule="auto"/>
        <w:ind w:firstLine="567"/>
        <w:jc w:val="both"/>
        <w:rPr>
          <w:rFonts w:ascii="Palatino Linotype" w:hAnsi="Palatino Linotype"/>
          <w:sz w:val="24"/>
          <w:szCs w:val="24"/>
        </w:rPr>
      </w:pPr>
      <w:r w:rsidRPr="007728F8">
        <w:rPr>
          <w:rFonts w:ascii="Palatino Linotype" w:hAnsi="Palatino Linotype"/>
          <w:sz w:val="24"/>
          <w:szCs w:val="24"/>
        </w:rPr>
        <w:t xml:space="preserve">Perkembangan lembaga yudikatif di Indonesia pasca reformasi sejalan dengan Pasal 61 </w:t>
      </w:r>
      <w:r w:rsidRPr="007728F8">
        <w:rPr>
          <w:rFonts w:ascii="Palatino Linotype" w:hAnsi="Palatino Linotype"/>
          <w:i/>
          <w:sz w:val="24"/>
          <w:szCs w:val="24"/>
        </w:rPr>
        <w:t>A Model of Islamic Contitution</w:t>
      </w:r>
      <w:r w:rsidRPr="007728F8">
        <w:rPr>
          <w:rFonts w:ascii="Palatino Linotype" w:hAnsi="Palatino Linotype"/>
          <w:sz w:val="24"/>
          <w:szCs w:val="24"/>
        </w:rPr>
        <w:t xml:space="preserve"> menyatakan “</w:t>
      </w:r>
      <w:r w:rsidRPr="007728F8">
        <w:rPr>
          <w:rFonts w:ascii="Palatino Linotype" w:hAnsi="Palatino Linotype"/>
          <w:i/>
          <w:sz w:val="24"/>
          <w:szCs w:val="24"/>
        </w:rPr>
        <w:t xml:space="preserve">Harus ada Dewan Konstitusi Tinggi- badan hukum yang berdiri sendiri yang akan menjadi pelindung konstitusi dan </w:t>
      </w:r>
      <w:r w:rsidRPr="007728F8">
        <w:rPr>
          <w:rFonts w:ascii="Palatino Linotype" w:hAnsi="Palatino Linotype"/>
          <w:i/>
          <w:sz w:val="24"/>
          <w:szCs w:val="24"/>
        </w:rPr>
        <w:lastRenderedPageBreak/>
        <w:t>karakter negara Islam</w:t>
      </w:r>
      <w:r w:rsidRPr="007728F8">
        <w:rPr>
          <w:rFonts w:ascii="Palatino Linotype" w:hAnsi="Palatino Linotype"/>
          <w:sz w:val="24"/>
          <w:szCs w:val="24"/>
        </w:rPr>
        <w:t>”.</w:t>
      </w:r>
      <w:r w:rsidRPr="007728F8">
        <w:rPr>
          <w:rStyle w:val="FootnoteReference"/>
          <w:rFonts w:ascii="Palatino Linotype" w:hAnsi="Palatino Linotype"/>
          <w:sz w:val="24"/>
          <w:szCs w:val="24"/>
        </w:rPr>
        <w:footnoteReference w:id="4"/>
      </w:r>
      <w:r w:rsidRPr="007728F8">
        <w:rPr>
          <w:rFonts w:ascii="Palatino Linotype" w:hAnsi="Palatino Linotype"/>
          <w:sz w:val="24"/>
          <w:szCs w:val="24"/>
          <w:lang w:val="id-ID"/>
        </w:rPr>
        <w:t xml:space="preserve"> </w:t>
      </w:r>
      <w:r w:rsidRPr="007728F8">
        <w:rPr>
          <w:rFonts w:ascii="Palatino Linotype" w:hAnsi="Palatino Linotype"/>
          <w:i/>
          <w:sz w:val="24"/>
          <w:szCs w:val="24"/>
        </w:rPr>
        <w:t>A Model of Islamic Contitution</w:t>
      </w:r>
      <w:r w:rsidRPr="007728F8">
        <w:rPr>
          <w:rFonts w:ascii="Palatino Linotype" w:hAnsi="Palatino Linotype"/>
          <w:sz w:val="24"/>
          <w:szCs w:val="24"/>
        </w:rPr>
        <w:t xml:space="preserve"> juga memuat suatu lembaga yang diberikan tugas untuk melindungi konstitusi sebagai konsekuensi negara hukumnya. Ide tentang lembaga pengawal konstitusi di Indonesia, sudah ada s</w:t>
      </w:r>
      <w:r w:rsidRPr="007728F8">
        <w:rPr>
          <w:rFonts w:ascii="Palatino Linotype" w:hAnsi="Palatino Linotype"/>
          <w:sz w:val="24"/>
          <w:szCs w:val="24"/>
          <w:lang w:val="id-ID"/>
        </w:rPr>
        <w:t>ejak awal kemerdekaan</w:t>
      </w:r>
      <w:r w:rsidRPr="007728F8">
        <w:rPr>
          <w:rFonts w:ascii="Palatino Linotype" w:hAnsi="Palatino Linotype"/>
          <w:sz w:val="24"/>
          <w:szCs w:val="24"/>
        </w:rPr>
        <w:t>.</w:t>
      </w:r>
      <w:r w:rsidRPr="007728F8">
        <w:rPr>
          <w:rFonts w:ascii="Palatino Linotype" w:hAnsi="Palatino Linotype"/>
          <w:sz w:val="24"/>
          <w:szCs w:val="24"/>
          <w:lang w:val="id-ID"/>
        </w:rPr>
        <w:t xml:space="preserve"> </w:t>
      </w:r>
      <w:r w:rsidRPr="007728F8">
        <w:rPr>
          <w:rFonts w:ascii="Palatino Linotype" w:hAnsi="Palatino Linotype"/>
          <w:i/>
          <w:sz w:val="24"/>
          <w:szCs w:val="24"/>
        </w:rPr>
        <w:t>Faunding Father</w:t>
      </w:r>
      <w:r w:rsidRPr="007728F8">
        <w:rPr>
          <w:rFonts w:ascii="Palatino Linotype" w:hAnsi="Palatino Linotype"/>
          <w:sz w:val="24"/>
          <w:szCs w:val="24"/>
        </w:rPr>
        <w:t xml:space="preserve"> </w:t>
      </w:r>
      <w:r w:rsidRPr="007728F8">
        <w:rPr>
          <w:rFonts w:ascii="Palatino Linotype" w:hAnsi="Palatino Linotype"/>
          <w:i/>
          <w:sz w:val="24"/>
          <w:szCs w:val="24"/>
        </w:rPr>
        <w:t xml:space="preserve">nation state </w:t>
      </w:r>
      <w:r w:rsidRPr="007728F8">
        <w:rPr>
          <w:rFonts w:ascii="Palatino Linotype" w:hAnsi="Palatino Linotype"/>
          <w:sz w:val="24"/>
          <w:szCs w:val="24"/>
        </w:rPr>
        <w:t>memiliki kekawatiran akan tantangan dan ancaman terhadap ketatanegaraan Indonesia.</w:t>
      </w:r>
      <w:r w:rsidRPr="007728F8">
        <w:rPr>
          <w:rFonts w:ascii="Palatino Linotype" w:hAnsi="Palatino Linotype"/>
          <w:i/>
          <w:sz w:val="24"/>
          <w:szCs w:val="24"/>
        </w:rPr>
        <w:t xml:space="preserve"> </w:t>
      </w:r>
    </w:p>
    <w:p w:rsidR="007728F8" w:rsidRPr="007728F8" w:rsidRDefault="007728F8" w:rsidP="007728F8">
      <w:pPr>
        <w:tabs>
          <w:tab w:val="left" w:pos="567"/>
        </w:tabs>
        <w:spacing w:after="0" w:line="240" w:lineRule="auto"/>
        <w:ind w:firstLine="567"/>
        <w:jc w:val="both"/>
        <w:rPr>
          <w:rFonts w:ascii="Palatino Linotype" w:hAnsi="Palatino Linotype"/>
          <w:sz w:val="24"/>
          <w:szCs w:val="24"/>
        </w:rPr>
      </w:pPr>
      <w:r w:rsidRPr="007728F8">
        <w:rPr>
          <w:rFonts w:ascii="Palatino Linotype" w:hAnsi="Palatino Linotype"/>
          <w:sz w:val="24"/>
          <w:szCs w:val="24"/>
          <w:lang w:val="id-ID"/>
        </w:rPr>
        <w:t>Mohammad Yamin mengusulkan desain kewenangan Mahkamah Agung (Balai Agung</w:t>
      </w:r>
      <w:r w:rsidRPr="007728F8">
        <w:rPr>
          <w:rStyle w:val="FootnoteReference"/>
          <w:rFonts w:ascii="Palatino Linotype" w:hAnsi="Palatino Linotype"/>
          <w:sz w:val="24"/>
          <w:szCs w:val="24"/>
          <w:lang w:val="id-ID"/>
        </w:rPr>
        <w:footnoteReference w:id="5"/>
      </w:r>
      <w:r w:rsidRPr="007728F8">
        <w:rPr>
          <w:rFonts w:ascii="Palatino Linotype" w:hAnsi="Palatino Linotype"/>
          <w:sz w:val="24"/>
          <w:szCs w:val="24"/>
          <w:lang w:val="id-ID"/>
        </w:rPr>
        <w:t xml:space="preserve">) </w:t>
      </w:r>
      <w:r w:rsidRPr="007728F8">
        <w:rPr>
          <w:rFonts w:ascii="Palatino Linotype" w:hAnsi="Palatino Linotype"/>
          <w:sz w:val="24"/>
          <w:szCs w:val="24"/>
        </w:rPr>
        <w:t>sebagai lembaga yudikatif tertinggi di Indonesia diberi</w:t>
      </w:r>
      <w:r w:rsidRPr="007728F8">
        <w:rPr>
          <w:rFonts w:ascii="Palatino Linotype" w:hAnsi="Palatino Linotype"/>
          <w:sz w:val="24"/>
          <w:szCs w:val="24"/>
          <w:lang w:val="id-ID"/>
        </w:rPr>
        <w:t xml:space="preserve"> kewenangan atau hak </w:t>
      </w:r>
      <w:r w:rsidRPr="007728F8">
        <w:rPr>
          <w:rFonts w:ascii="Palatino Linotype" w:hAnsi="Palatino Linotype"/>
          <w:sz w:val="24"/>
          <w:szCs w:val="24"/>
        </w:rPr>
        <w:t>untuk:</w:t>
      </w:r>
    </w:p>
    <w:p w:rsidR="007728F8" w:rsidRPr="007728F8" w:rsidRDefault="007728F8" w:rsidP="007728F8">
      <w:pPr>
        <w:numPr>
          <w:ilvl w:val="0"/>
          <w:numId w:val="5"/>
        </w:numPr>
        <w:spacing w:after="0" w:line="240" w:lineRule="auto"/>
        <w:ind w:left="284" w:hanging="284"/>
        <w:jc w:val="both"/>
        <w:rPr>
          <w:rFonts w:ascii="Palatino Linotype" w:hAnsi="Palatino Linotype"/>
          <w:sz w:val="24"/>
          <w:szCs w:val="24"/>
        </w:rPr>
      </w:pPr>
      <w:r w:rsidRPr="007728F8">
        <w:rPr>
          <w:rFonts w:ascii="Palatino Linotype" w:hAnsi="Palatino Linotype"/>
          <w:sz w:val="24"/>
          <w:szCs w:val="24"/>
        </w:rPr>
        <w:t>M</w:t>
      </w:r>
      <w:r w:rsidRPr="007728F8">
        <w:rPr>
          <w:rFonts w:ascii="Palatino Linotype" w:hAnsi="Palatino Linotype"/>
          <w:sz w:val="24"/>
          <w:szCs w:val="24"/>
          <w:lang w:val="id-ID"/>
        </w:rPr>
        <w:t>embandingkan (</w:t>
      </w:r>
      <w:r w:rsidRPr="007728F8">
        <w:rPr>
          <w:rFonts w:ascii="Palatino Linotype" w:hAnsi="Palatino Linotype"/>
          <w:i/>
          <w:sz w:val="24"/>
          <w:szCs w:val="24"/>
          <w:lang w:val="id-ID"/>
        </w:rPr>
        <w:t>yudicial review</w:t>
      </w:r>
      <w:r w:rsidRPr="007728F8">
        <w:rPr>
          <w:rFonts w:ascii="Palatino Linotype" w:hAnsi="Palatino Linotype"/>
          <w:sz w:val="24"/>
          <w:szCs w:val="24"/>
          <w:lang w:val="id-ID"/>
        </w:rPr>
        <w:t>)</w:t>
      </w:r>
      <w:r w:rsidRPr="007728F8">
        <w:rPr>
          <w:rFonts w:ascii="Palatino Linotype" w:hAnsi="Palatino Linotype"/>
          <w:sz w:val="24"/>
          <w:szCs w:val="24"/>
        </w:rPr>
        <w:t xml:space="preserve"> apakah undang-undang yang dibuat DPR </w:t>
      </w:r>
      <w:r w:rsidRPr="007728F8">
        <w:rPr>
          <w:rFonts w:ascii="Palatino Linotype" w:hAnsi="Palatino Linotype"/>
          <w:sz w:val="24"/>
          <w:szCs w:val="24"/>
          <w:lang w:val="id-ID"/>
        </w:rPr>
        <w:t>melanggar UUD atau bertentangan dengan hukum adat yang diakui atau pula bertentang dengan syariat Islam</w:t>
      </w:r>
      <w:r w:rsidRPr="007728F8">
        <w:rPr>
          <w:rFonts w:ascii="Palatino Linotype" w:hAnsi="Palatino Linotype"/>
          <w:sz w:val="24"/>
          <w:szCs w:val="24"/>
        </w:rPr>
        <w:t>;</w:t>
      </w:r>
    </w:p>
    <w:p w:rsidR="007728F8" w:rsidRPr="007728F8" w:rsidRDefault="007728F8" w:rsidP="007728F8">
      <w:pPr>
        <w:numPr>
          <w:ilvl w:val="0"/>
          <w:numId w:val="5"/>
        </w:numPr>
        <w:spacing w:after="0" w:line="240" w:lineRule="auto"/>
        <w:ind w:left="284" w:hanging="284"/>
        <w:jc w:val="both"/>
        <w:rPr>
          <w:rFonts w:ascii="Palatino Linotype" w:hAnsi="Palatino Linotype"/>
          <w:sz w:val="24"/>
          <w:szCs w:val="24"/>
        </w:rPr>
      </w:pPr>
      <w:r w:rsidRPr="007728F8">
        <w:rPr>
          <w:rFonts w:ascii="Palatino Linotype" w:hAnsi="Palatino Linotype"/>
          <w:sz w:val="24"/>
          <w:szCs w:val="24"/>
        </w:rPr>
        <w:t>M</w:t>
      </w:r>
      <w:r w:rsidRPr="007728F8">
        <w:rPr>
          <w:rFonts w:ascii="Palatino Linotype" w:hAnsi="Palatino Linotype"/>
          <w:sz w:val="24"/>
          <w:szCs w:val="24"/>
          <w:lang w:val="id-ID"/>
        </w:rPr>
        <w:t>emutus apakah produk hukum dari lembaga-lembaga tinggi negara lainya sejalan atau tidak dengan hukum adat, syariah dan UUD</w:t>
      </w:r>
      <w:r w:rsidRPr="007728F8">
        <w:rPr>
          <w:rFonts w:ascii="Palatino Linotype" w:hAnsi="Palatino Linotype"/>
          <w:sz w:val="24"/>
          <w:szCs w:val="24"/>
        </w:rPr>
        <w:t>.</w:t>
      </w:r>
      <w:r w:rsidRPr="007728F8">
        <w:rPr>
          <w:rStyle w:val="FootnoteReference"/>
          <w:rFonts w:ascii="Palatino Linotype" w:hAnsi="Palatino Linotype"/>
          <w:sz w:val="24"/>
          <w:szCs w:val="24"/>
          <w:lang w:val="id-ID"/>
        </w:rPr>
        <w:footnoteReference w:id="6"/>
      </w:r>
      <w:r w:rsidRPr="007728F8">
        <w:rPr>
          <w:rFonts w:ascii="Palatino Linotype" w:hAnsi="Palatino Linotype"/>
          <w:sz w:val="24"/>
          <w:szCs w:val="24"/>
          <w:lang w:val="id-ID"/>
        </w:rPr>
        <w:t xml:space="preserve"> </w:t>
      </w:r>
    </w:p>
    <w:p w:rsidR="00C417DA" w:rsidRPr="005D0B30" w:rsidRDefault="007728F8" w:rsidP="007728F8">
      <w:pPr>
        <w:tabs>
          <w:tab w:val="left" w:pos="567"/>
        </w:tabs>
        <w:spacing w:after="0" w:line="240" w:lineRule="auto"/>
        <w:ind w:firstLine="567"/>
        <w:jc w:val="both"/>
        <w:rPr>
          <w:rFonts w:ascii="Palatino Linotype" w:hAnsi="Palatino Linotype"/>
          <w:sz w:val="24"/>
          <w:szCs w:val="24"/>
        </w:rPr>
      </w:pPr>
      <w:r w:rsidRPr="007728F8">
        <w:rPr>
          <w:rFonts w:ascii="Palatino Linotype" w:hAnsi="Palatino Linotype"/>
          <w:sz w:val="24"/>
          <w:szCs w:val="24"/>
          <w:lang w:val="id-ID"/>
        </w:rPr>
        <w:t>Ide Mohammad Yamin ditentang Soepomo yang mengajukan argumentasi bahwa para ahli hu</w:t>
      </w:r>
      <w:r w:rsidRPr="005D0B30">
        <w:rPr>
          <w:rFonts w:ascii="Palatino Linotype" w:hAnsi="Palatino Linotype"/>
          <w:sz w:val="24"/>
          <w:szCs w:val="24"/>
          <w:lang w:val="id-ID"/>
        </w:rPr>
        <w:t>kum Indonesia belum berpengalaman.</w:t>
      </w:r>
      <w:r w:rsidRPr="005D0B30">
        <w:rPr>
          <w:rStyle w:val="FootnoteReference"/>
          <w:rFonts w:ascii="Palatino Linotype" w:hAnsi="Palatino Linotype"/>
          <w:sz w:val="24"/>
          <w:szCs w:val="24"/>
          <w:lang w:val="id-ID"/>
        </w:rPr>
        <w:footnoteReference w:id="7"/>
      </w:r>
      <w:r w:rsidRPr="005D0B30">
        <w:rPr>
          <w:rFonts w:ascii="Palatino Linotype" w:hAnsi="Palatino Linotype"/>
          <w:sz w:val="24"/>
          <w:szCs w:val="24"/>
          <w:lang w:val="id-ID"/>
        </w:rPr>
        <w:t xml:space="preserve"> Soepomo mengingatkan Mohammad Yamin</w:t>
      </w:r>
      <w:r w:rsidRPr="005D0B30">
        <w:rPr>
          <w:rFonts w:ascii="Palatino Linotype" w:hAnsi="Palatino Linotype"/>
          <w:sz w:val="24"/>
          <w:szCs w:val="24"/>
        </w:rPr>
        <w:t>,</w:t>
      </w:r>
      <w:r w:rsidRPr="005D0B30">
        <w:rPr>
          <w:rFonts w:ascii="Palatino Linotype" w:hAnsi="Palatino Linotype"/>
          <w:sz w:val="24"/>
          <w:szCs w:val="24"/>
          <w:lang w:val="id-ID"/>
        </w:rPr>
        <w:t xml:space="preserve"> kewenangan </w:t>
      </w:r>
      <w:r w:rsidRPr="005D0B30">
        <w:rPr>
          <w:rFonts w:ascii="Palatino Linotype" w:hAnsi="Palatino Linotype"/>
          <w:i/>
          <w:sz w:val="24"/>
          <w:szCs w:val="24"/>
          <w:lang w:val="id-ID"/>
        </w:rPr>
        <w:t>yudicial review</w:t>
      </w:r>
      <w:r w:rsidRPr="005D0B30">
        <w:rPr>
          <w:rFonts w:ascii="Palatino Linotype" w:hAnsi="Palatino Linotype"/>
          <w:sz w:val="24"/>
          <w:szCs w:val="24"/>
          <w:lang w:val="id-ID"/>
        </w:rPr>
        <w:t xml:space="preserve"> berlaku bagi Austria, Ceko-Slowakia, dan Jerman dalam periode konstitusi Weimar (1919) tidak dilaksanakan Mahkamah Agung, melainkan oleh peradilan khusus </w:t>
      </w:r>
      <w:r w:rsidRPr="005D0B30">
        <w:rPr>
          <w:rFonts w:ascii="Palatino Linotype" w:hAnsi="Palatino Linotype"/>
          <w:sz w:val="24"/>
          <w:szCs w:val="24"/>
        </w:rPr>
        <w:t>(</w:t>
      </w:r>
      <w:r w:rsidRPr="005D0B30">
        <w:rPr>
          <w:rFonts w:ascii="Palatino Linotype" w:hAnsi="Palatino Linotype"/>
          <w:i/>
          <w:sz w:val="24"/>
          <w:szCs w:val="24"/>
          <w:lang w:val="id-ID"/>
        </w:rPr>
        <w:t>constitutional-holf</w:t>
      </w:r>
      <w:r w:rsidRPr="005D0B30">
        <w:rPr>
          <w:rFonts w:ascii="Palatino Linotype" w:hAnsi="Palatino Linotype"/>
          <w:i/>
          <w:sz w:val="24"/>
          <w:szCs w:val="24"/>
        </w:rPr>
        <w:t>)</w:t>
      </w:r>
      <w:r w:rsidRPr="005D0B30">
        <w:rPr>
          <w:rFonts w:ascii="Palatino Linotype" w:hAnsi="Palatino Linotype"/>
          <w:sz w:val="24"/>
          <w:szCs w:val="24"/>
          <w:lang w:val="id-ID"/>
        </w:rPr>
        <w:t xml:space="preserve"> yaitu sebuah pengadilan spesifik yang tugasnya melindungi konstitusi.</w:t>
      </w:r>
      <w:r w:rsidRPr="005D0B30">
        <w:rPr>
          <w:rStyle w:val="FootnoteReference"/>
          <w:rFonts w:ascii="Palatino Linotype" w:hAnsi="Palatino Linotype"/>
          <w:sz w:val="24"/>
          <w:szCs w:val="24"/>
          <w:lang w:val="id-ID"/>
        </w:rPr>
        <w:footnoteReference w:id="8"/>
      </w:r>
      <w:r w:rsidRPr="005D0B30">
        <w:rPr>
          <w:rFonts w:ascii="Palatino Linotype" w:hAnsi="Palatino Linotype"/>
          <w:sz w:val="24"/>
          <w:szCs w:val="24"/>
        </w:rPr>
        <w:t xml:space="preserve"> </w:t>
      </w:r>
      <w:r w:rsidRPr="005D0B30">
        <w:rPr>
          <w:rFonts w:ascii="Palatino Linotype" w:hAnsi="Palatino Linotype"/>
          <w:sz w:val="24"/>
          <w:szCs w:val="24"/>
          <w:lang w:val="id-ID"/>
        </w:rPr>
        <w:t>Soepomo menolak usul Mohammad Yamin tentang penambahan kewenangan terhadap Mahkamah Agung Republik Indonesia</w:t>
      </w:r>
      <w:r w:rsidRPr="005D0B30">
        <w:rPr>
          <w:rFonts w:ascii="Palatino Linotype" w:hAnsi="Palatino Linotype"/>
          <w:sz w:val="24"/>
          <w:szCs w:val="24"/>
        </w:rPr>
        <w:t xml:space="preserve"> untuk melindungi konstitusi</w:t>
      </w:r>
      <w:r w:rsidRPr="005D0B30">
        <w:rPr>
          <w:rFonts w:ascii="Palatino Linotype" w:hAnsi="Palatino Linotype"/>
          <w:sz w:val="24"/>
          <w:szCs w:val="24"/>
          <w:lang w:val="id-ID"/>
        </w:rPr>
        <w:t xml:space="preserve">. </w:t>
      </w:r>
      <w:r w:rsidRPr="005D0B30">
        <w:rPr>
          <w:rFonts w:ascii="Palatino Linotype" w:hAnsi="Palatino Linotype"/>
          <w:sz w:val="24"/>
          <w:szCs w:val="24"/>
        </w:rPr>
        <w:t>U</w:t>
      </w:r>
      <w:r w:rsidRPr="005D0B30">
        <w:rPr>
          <w:rFonts w:ascii="Palatino Linotype" w:hAnsi="Palatino Linotype"/>
          <w:sz w:val="24"/>
          <w:szCs w:val="24"/>
          <w:lang w:val="id-ID"/>
        </w:rPr>
        <w:t>raian yang telah dipaparkan</w:t>
      </w:r>
      <w:r w:rsidRPr="005D0B30">
        <w:rPr>
          <w:rFonts w:ascii="Palatino Linotype" w:hAnsi="Palatino Linotype"/>
          <w:sz w:val="24"/>
          <w:szCs w:val="24"/>
        </w:rPr>
        <w:t xml:space="preserve"> timbul pertanyaan-pertanyaan sebagai pokok pembahasan adalah sebagai berikut: Bagaimana </w:t>
      </w:r>
      <w:r w:rsidRPr="005D0B30">
        <w:rPr>
          <w:rFonts w:ascii="Palatino Linotype" w:hAnsi="Palatino Linotype"/>
          <w:i/>
          <w:sz w:val="24"/>
          <w:szCs w:val="24"/>
        </w:rPr>
        <w:t>A Model Islamic Constitution</w:t>
      </w:r>
      <w:r w:rsidRPr="005D0B30">
        <w:rPr>
          <w:rFonts w:ascii="Palatino Linotype" w:hAnsi="Palatino Linotype"/>
          <w:sz w:val="24"/>
          <w:szCs w:val="24"/>
          <w:lang w:val="id-ID"/>
        </w:rPr>
        <w:t xml:space="preserve"> </w:t>
      </w:r>
      <w:r w:rsidRPr="005D0B30">
        <w:rPr>
          <w:rFonts w:ascii="Palatino Linotype" w:hAnsi="Palatino Linotype"/>
          <w:sz w:val="24"/>
          <w:szCs w:val="24"/>
        </w:rPr>
        <w:t>dalam pembentukan lembaga pengawal konstitusi di Indonesia Pasca Amandemen ketiga dalam pemikiran Muhammad Yamin dan Soepomo.</w:t>
      </w:r>
    </w:p>
    <w:p w:rsidR="007728F8" w:rsidRPr="005D0B30" w:rsidRDefault="007728F8" w:rsidP="007728F8">
      <w:pPr>
        <w:tabs>
          <w:tab w:val="left" w:pos="567"/>
        </w:tabs>
        <w:spacing w:after="0" w:line="240" w:lineRule="auto"/>
        <w:ind w:firstLine="567"/>
        <w:jc w:val="both"/>
        <w:rPr>
          <w:rFonts w:ascii="Palatino Linotype" w:hAnsi="Palatino Linotype"/>
          <w:sz w:val="24"/>
          <w:szCs w:val="24"/>
        </w:rPr>
      </w:pPr>
    </w:p>
    <w:p w:rsidR="007728F8" w:rsidRPr="005D0B30" w:rsidRDefault="007728F8" w:rsidP="007728F8">
      <w:pPr>
        <w:pStyle w:val="ListParagraph"/>
        <w:widowControl w:val="0"/>
        <w:numPr>
          <w:ilvl w:val="0"/>
          <w:numId w:val="4"/>
        </w:numPr>
        <w:spacing w:line="300" w:lineRule="exact"/>
        <w:ind w:left="426" w:hanging="426"/>
        <w:jc w:val="both"/>
        <w:rPr>
          <w:rFonts w:ascii="Palatino Linotype" w:hAnsi="Palatino Linotype" w:cs="Traditional Arabic"/>
          <w:b/>
          <w:sz w:val="24"/>
          <w:szCs w:val="24"/>
        </w:rPr>
      </w:pPr>
      <w:r w:rsidRPr="005D0B30">
        <w:rPr>
          <w:rFonts w:ascii="Palatino Linotype" w:hAnsi="Palatino Linotype" w:cs="Traditional Arabic"/>
          <w:b/>
          <w:sz w:val="24"/>
          <w:szCs w:val="24"/>
        </w:rPr>
        <w:t>PEMBAHASAN</w:t>
      </w:r>
    </w:p>
    <w:p w:rsidR="005D0B30" w:rsidRPr="005D0B30" w:rsidRDefault="005D0B30" w:rsidP="005D0B30">
      <w:pPr>
        <w:pStyle w:val="ListParagraph"/>
        <w:numPr>
          <w:ilvl w:val="0"/>
          <w:numId w:val="17"/>
        </w:numPr>
        <w:spacing w:after="0" w:line="240" w:lineRule="auto"/>
        <w:ind w:left="426" w:hanging="426"/>
        <w:jc w:val="both"/>
        <w:rPr>
          <w:rFonts w:ascii="Palatino Linotype" w:hAnsi="Palatino Linotype"/>
          <w:sz w:val="24"/>
          <w:szCs w:val="24"/>
        </w:rPr>
      </w:pPr>
      <w:r w:rsidRPr="005D0B30">
        <w:rPr>
          <w:rFonts w:ascii="Palatino Linotype" w:hAnsi="Palatino Linotype"/>
          <w:b/>
          <w:i/>
          <w:sz w:val="24"/>
          <w:szCs w:val="24"/>
        </w:rPr>
        <w:t xml:space="preserve">Dual Yuridiction: </w:t>
      </w:r>
      <w:r w:rsidRPr="005D0B30">
        <w:rPr>
          <w:rFonts w:ascii="Palatino Linotype" w:hAnsi="Palatino Linotype"/>
          <w:b/>
          <w:sz w:val="24"/>
          <w:szCs w:val="24"/>
        </w:rPr>
        <w:t xml:space="preserve">Kajian Teoritis </w:t>
      </w:r>
      <w:r w:rsidRPr="005D0B30">
        <w:rPr>
          <w:rFonts w:ascii="Palatino Linotype" w:hAnsi="Palatino Linotype"/>
          <w:b/>
          <w:i/>
          <w:sz w:val="24"/>
          <w:szCs w:val="24"/>
        </w:rPr>
        <w:t>A Model Islamic Contitution</w:t>
      </w:r>
      <w:r w:rsidRPr="005D0B30">
        <w:rPr>
          <w:rFonts w:ascii="Palatino Linotype" w:hAnsi="Palatino Linotype"/>
          <w:b/>
          <w:sz w:val="24"/>
          <w:szCs w:val="24"/>
        </w:rPr>
        <w:t xml:space="preserve"> </w:t>
      </w: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rPr>
        <w:t xml:space="preserve">Model </w:t>
      </w:r>
      <w:r w:rsidRPr="005D0B30">
        <w:rPr>
          <w:rFonts w:ascii="Palatino Linotype" w:hAnsi="Palatino Linotype"/>
          <w:i/>
          <w:sz w:val="24"/>
          <w:szCs w:val="24"/>
        </w:rPr>
        <w:t>dual yuridiction</w:t>
      </w:r>
      <w:r w:rsidRPr="005D0B30">
        <w:rPr>
          <w:rFonts w:ascii="Palatino Linotype" w:hAnsi="Palatino Linotype"/>
          <w:sz w:val="24"/>
          <w:szCs w:val="24"/>
        </w:rPr>
        <w:t xml:space="preserve"> digunakan sebagai kerangka teori dalam pembuatan makalah ini, lebih melihat ada dua sisi kekuasaan lembaga yudikatif di Indonesia, yakni: </w:t>
      </w:r>
    </w:p>
    <w:p w:rsidR="005D0B30" w:rsidRPr="005D0B30" w:rsidRDefault="005D0B30" w:rsidP="005D0B30">
      <w:pPr>
        <w:pStyle w:val="ListParagraph"/>
        <w:numPr>
          <w:ilvl w:val="0"/>
          <w:numId w:val="10"/>
        </w:numPr>
        <w:spacing w:after="0" w:line="240" w:lineRule="auto"/>
        <w:ind w:left="284" w:hanging="284"/>
        <w:jc w:val="both"/>
        <w:rPr>
          <w:rFonts w:ascii="Palatino Linotype" w:hAnsi="Palatino Linotype"/>
        </w:rPr>
      </w:pPr>
      <w:r w:rsidRPr="005D0B30">
        <w:rPr>
          <w:rFonts w:ascii="Palatino Linotype" w:hAnsi="Palatino Linotype"/>
        </w:rPr>
        <w:lastRenderedPageBreak/>
        <w:t>Mahkamah Agung (MA) dan Mahkamah Konstitusi (MK) sebagai lembaga kehakiman di Indonesia.</w:t>
      </w:r>
      <w:r w:rsidRPr="005D0B30">
        <w:rPr>
          <w:rStyle w:val="FootnoteReference"/>
          <w:rFonts w:ascii="Palatino Linotype" w:hAnsi="Palatino Linotype"/>
        </w:rPr>
        <w:footnoteReference w:id="9"/>
      </w:r>
      <w:r w:rsidRPr="005D0B30">
        <w:rPr>
          <w:rFonts w:ascii="Palatino Linotype" w:hAnsi="Palatino Linotype"/>
        </w:rPr>
        <w:t xml:space="preserve"> Hasil </w:t>
      </w:r>
      <w:r w:rsidRPr="005D0B30">
        <w:rPr>
          <w:rFonts w:ascii="Palatino Linotype" w:hAnsi="Palatino Linotype"/>
          <w:lang w:val="id-ID"/>
        </w:rPr>
        <w:t xml:space="preserve">amandemen </w:t>
      </w:r>
      <w:r w:rsidRPr="005D0B30">
        <w:rPr>
          <w:rFonts w:ascii="Palatino Linotype" w:hAnsi="Palatino Linotype"/>
        </w:rPr>
        <w:t xml:space="preserve">UUD 1945 </w:t>
      </w:r>
      <w:r w:rsidRPr="005D0B30">
        <w:rPr>
          <w:rFonts w:ascii="Palatino Linotype" w:hAnsi="Palatino Linotype"/>
          <w:lang w:val="id-ID"/>
        </w:rPr>
        <w:t>kekuasaan yudikatif dilakukan oleh</w:t>
      </w:r>
      <w:r w:rsidRPr="005D0B30">
        <w:rPr>
          <w:rFonts w:ascii="Palatino Linotype" w:hAnsi="Palatino Linotype"/>
        </w:rPr>
        <w:t xml:space="preserve"> MA dan MK minus Komisi Yudisial (KY)</w:t>
      </w:r>
      <w:r w:rsidRPr="005D0B30">
        <w:rPr>
          <w:rFonts w:ascii="Palatino Linotype" w:hAnsi="Palatino Linotype"/>
          <w:lang w:val="id-ID"/>
        </w:rPr>
        <w:t xml:space="preserve">. </w:t>
      </w:r>
    </w:p>
    <w:p w:rsidR="005D0B30" w:rsidRPr="005D0B30" w:rsidRDefault="005D0B30" w:rsidP="005D0B30">
      <w:pPr>
        <w:pStyle w:val="ListParagraph"/>
        <w:numPr>
          <w:ilvl w:val="0"/>
          <w:numId w:val="10"/>
        </w:numPr>
        <w:spacing w:after="0" w:line="240" w:lineRule="auto"/>
        <w:ind w:left="284" w:hanging="284"/>
        <w:jc w:val="both"/>
        <w:rPr>
          <w:rFonts w:ascii="Palatino Linotype" w:hAnsi="Palatino Linotype"/>
        </w:rPr>
      </w:pPr>
      <w:r w:rsidRPr="005D0B30">
        <w:rPr>
          <w:rFonts w:ascii="Palatino Linotype" w:hAnsi="Palatino Linotype"/>
        </w:rPr>
        <w:t>L</w:t>
      </w:r>
      <w:r w:rsidRPr="005D0B30">
        <w:rPr>
          <w:rFonts w:ascii="Palatino Linotype" w:hAnsi="Palatino Linotype"/>
          <w:lang w:val="id-ID"/>
        </w:rPr>
        <w:t>embaga yudikatif tersebut dilengkapi dengan kewenangan memeriksa, mengadili, dan memutus sejumlah perkara hukum.</w:t>
      </w:r>
      <w:r w:rsidRPr="005D0B30">
        <w:rPr>
          <w:rFonts w:ascii="Palatino Linotype" w:hAnsi="Palatino Linotype"/>
        </w:rPr>
        <w:t xml:space="preserve"> </w:t>
      </w: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rPr>
        <w:t xml:space="preserve">MA </w:t>
      </w:r>
      <w:r w:rsidRPr="005D0B30">
        <w:rPr>
          <w:rFonts w:ascii="Palatino Linotype" w:hAnsi="Palatino Linotype"/>
          <w:sz w:val="24"/>
          <w:szCs w:val="24"/>
          <w:lang w:val="id-ID"/>
        </w:rPr>
        <w:t xml:space="preserve">adalah </w:t>
      </w:r>
      <w:r w:rsidRPr="005D0B30">
        <w:rPr>
          <w:rFonts w:ascii="Palatino Linotype" w:hAnsi="Palatino Linotype"/>
          <w:sz w:val="24"/>
          <w:szCs w:val="24"/>
        </w:rPr>
        <w:t xml:space="preserve">lembaga </w:t>
      </w:r>
      <w:r w:rsidRPr="005D0B30">
        <w:rPr>
          <w:rFonts w:ascii="Palatino Linotype" w:hAnsi="Palatino Linotype"/>
          <w:sz w:val="24"/>
          <w:szCs w:val="24"/>
          <w:lang w:val="id-ID"/>
        </w:rPr>
        <w:t>yudikatif tingkat kasasi dan mengadili sengketa hukum yang timbul dari peraturan perundang-undangan di bawah undang-undang.</w:t>
      </w:r>
      <w:r w:rsidRPr="005D0B30">
        <w:rPr>
          <w:rStyle w:val="FootnoteReference"/>
          <w:rFonts w:ascii="Palatino Linotype" w:hAnsi="Palatino Linotype"/>
          <w:sz w:val="24"/>
          <w:szCs w:val="24"/>
          <w:lang w:val="id-ID"/>
        </w:rPr>
        <w:footnoteReference w:id="10"/>
      </w:r>
      <w:r w:rsidRPr="005D0B30">
        <w:rPr>
          <w:rFonts w:ascii="Palatino Linotype" w:hAnsi="Palatino Linotype"/>
          <w:sz w:val="24"/>
          <w:szCs w:val="24"/>
          <w:lang w:val="id-ID"/>
        </w:rPr>
        <w:t xml:space="preserve"> </w:t>
      </w:r>
      <w:r w:rsidRPr="005D0B30">
        <w:rPr>
          <w:rFonts w:ascii="Palatino Linotype" w:hAnsi="Palatino Linotype"/>
          <w:sz w:val="24"/>
          <w:szCs w:val="24"/>
        </w:rPr>
        <w:t xml:space="preserve">MK </w:t>
      </w:r>
      <w:r w:rsidRPr="005D0B30">
        <w:rPr>
          <w:rFonts w:ascii="Palatino Linotype" w:hAnsi="Palatino Linotype"/>
          <w:sz w:val="24"/>
          <w:szCs w:val="24"/>
          <w:lang w:val="id-ID"/>
        </w:rPr>
        <w:t xml:space="preserve">bertugas menyelesaikan perseteruan hukum yang timbul dari undang-undang terhadap UUD, sengketa antar lembaga negara, pembubaran partai politik, </w:t>
      </w:r>
      <w:r w:rsidRPr="005D0B30">
        <w:rPr>
          <w:rFonts w:ascii="Palatino Linotype" w:hAnsi="Palatino Linotype"/>
          <w:i/>
          <w:sz w:val="24"/>
          <w:szCs w:val="24"/>
          <w:lang w:val="id-ID"/>
        </w:rPr>
        <w:t>impeacment</w:t>
      </w:r>
      <w:r w:rsidRPr="005D0B30">
        <w:rPr>
          <w:rFonts w:ascii="Palatino Linotype" w:hAnsi="Palatino Linotype"/>
          <w:sz w:val="24"/>
          <w:szCs w:val="24"/>
          <w:lang w:val="id-ID"/>
        </w:rPr>
        <w:t>.</w:t>
      </w:r>
      <w:r w:rsidRPr="005D0B30">
        <w:rPr>
          <w:rStyle w:val="FootnoteReference"/>
          <w:rFonts w:ascii="Palatino Linotype" w:hAnsi="Palatino Linotype"/>
          <w:sz w:val="24"/>
          <w:szCs w:val="24"/>
          <w:lang w:val="id-ID"/>
        </w:rPr>
        <w:footnoteReference w:id="11"/>
      </w:r>
      <w:r w:rsidRPr="005D0B30">
        <w:rPr>
          <w:rFonts w:ascii="Palatino Linotype" w:hAnsi="Palatino Linotype"/>
          <w:sz w:val="24"/>
          <w:szCs w:val="24"/>
          <w:lang w:val="id-ID"/>
        </w:rPr>
        <w:t xml:space="preserve"> Ini semua adalah untuk menegakan keadilan dan kebenaran berdasarkan perkembangan yudikatif yang dicita-citakan dalam negara hukum.</w:t>
      </w: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lang w:val="id-ID"/>
        </w:rPr>
        <w:t>Asumsi-asumsi historis menggaris</w:t>
      </w:r>
      <w:r w:rsidRPr="005D0B30">
        <w:rPr>
          <w:rFonts w:ascii="Palatino Linotype" w:hAnsi="Palatino Linotype"/>
          <w:sz w:val="24"/>
          <w:szCs w:val="24"/>
        </w:rPr>
        <w:t>-</w:t>
      </w:r>
      <w:r w:rsidRPr="005D0B30">
        <w:rPr>
          <w:rFonts w:ascii="Palatino Linotype" w:hAnsi="Palatino Linotype"/>
          <w:sz w:val="24"/>
          <w:szCs w:val="24"/>
          <w:lang w:val="id-ID"/>
        </w:rPr>
        <w:t>bawa</w:t>
      </w:r>
      <w:r w:rsidRPr="005D0B30">
        <w:rPr>
          <w:rFonts w:ascii="Palatino Linotype" w:hAnsi="Palatino Linotype"/>
          <w:sz w:val="24"/>
          <w:szCs w:val="24"/>
        </w:rPr>
        <w:t>h</w:t>
      </w:r>
      <w:r w:rsidRPr="005D0B30">
        <w:rPr>
          <w:rFonts w:ascii="Palatino Linotype" w:hAnsi="Palatino Linotype"/>
          <w:sz w:val="24"/>
          <w:szCs w:val="24"/>
          <w:lang w:val="id-ID"/>
        </w:rPr>
        <w:t xml:space="preserve">i bahwa sistem kekuasaan yudikatif yang terbelah ke adalm dua kekuasaan merupakan hasil produk sejarah panjang dari sistem ketatanegaraan. Selain itu merupakan kreasi dari sistem hukum dan politik hukum yang dikembangkan oleh sistem hukum yang mendominasi dunia yakni </w:t>
      </w:r>
      <w:r w:rsidRPr="005D0B30">
        <w:rPr>
          <w:rFonts w:ascii="Palatino Linotype" w:hAnsi="Palatino Linotype"/>
          <w:i/>
          <w:sz w:val="24"/>
          <w:szCs w:val="24"/>
          <w:lang w:val="id-ID"/>
        </w:rPr>
        <w:t>Civil Law dan Common Law</w:t>
      </w:r>
      <w:r w:rsidRPr="005D0B30">
        <w:rPr>
          <w:rFonts w:ascii="Palatino Linotype" w:hAnsi="Palatino Linotype"/>
          <w:sz w:val="24"/>
          <w:szCs w:val="24"/>
          <w:lang w:val="id-ID"/>
        </w:rPr>
        <w:t>.</w:t>
      </w:r>
      <w:r w:rsidRPr="005D0B30">
        <w:rPr>
          <w:rStyle w:val="FootnoteReference"/>
          <w:rFonts w:ascii="Palatino Linotype" w:hAnsi="Palatino Linotype"/>
          <w:sz w:val="24"/>
          <w:szCs w:val="24"/>
          <w:lang w:val="id-ID"/>
        </w:rPr>
        <w:footnoteReference w:id="12"/>
      </w:r>
      <w:r w:rsidRPr="005D0B30">
        <w:rPr>
          <w:rFonts w:ascii="Palatino Linotype" w:hAnsi="Palatino Linotype"/>
          <w:sz w:val="24"/>
          <w:szCs w:val="24"/>
          <w:lang w:val="id-ID"/>
        </w:rPr>
        <w:t xml:space="preserve"> Kekuasan yudikatif yang dijalankan oleh </w:t>
      </w:r>
      <w:r w:rsidRPr="005D0B30">
        <w:rPr>
          <w:rFonts w:ascii="Palatino Linotype" w:hAnsi="Palatino Linotype"/>
          <w:i/>
          <w:sz w:val="24"/>
          <w:szCs w:val="24"/>
          <w:lang w:val="id-ID"/>
        </w:rPr>
        <w:t xml:space="preserve">Supreme Court </w:t>
      </w:r>
      <w:r w:rsidRPr="005D0B30">
        <w:rPr>
          <w:rFonts w:ascii="Palatino Linotype" w:hAnsi="Palatino Linotype"/>
          <w:sz w:val="24"/>
          <w:szCs w:val="24"/>
          <w:lang w:val="id-ID"/>
        </w:rPr>
        <w:t>dan</w:t>
      </w:r>
      <w:r w:rsidRPr="005D0B30">
        <w:rPr>
          <w:rFonts w:ascii="Palatino Linotype" w:hAnsi="Palatino Linotype"/>
          <w:i/>
          <w:sz w:val="24"/>
          <w:szCs w:val="24"/>
          <w:lang w:val="id-ID"/>
        </w:rPr>
        <w:t xml:space="preserve"> Contitutional Court</w:t>
      </w:r>
      <w:r w:rsidRPr="005D0B30">
        <w:rPr>
          <w:rFonts w:ascii="Palatino Linotype" w:hAnsi="Palatino Linotype"/>
          <w:sz w:val="24"/>
          <w:szCs w:val="24"/>
          <w:lang w:val="id-ID"/>
        </w:rPr>
        <w:t xml:space="preserve"> bila dilihat secara kelembagaan memang berbeda. </w:t>
      </w: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lang w:val="id-ID"/>
        </w:rPr>
        <w:t xml:space="preserve">Namun, pada prinsipnya keduanya masuk dalam kekuasaan yudikatif. Perbedaan mendasar yang tampak dalam lembaga yudikatif di satu sisi telah membedakan lembaga yudikatif yang berkembang dan berlaku di Amerika Serikat, dengan model yang berkembang di Eropa Kontinental. Di Amerika Serikat sendiri organ yudikatif umum dapat menguji produk hukum sebagaimana yang dilakukan oleh </w:t>
      </w:r>
      <w:r w:rsidRPr="005D0B30">
        <w:rPr>
          <w:rFonts w:ascii="Palatino Linotype" w:hAnsi="Palatino Linotype"/>
          <w:i/>
          <w:sz w:val="24"/>
          <w:szCs w:val="24"/>
          <w:lang w:val="id-ID"/>
        </w:rPr>
        <w:t>Contitutional Court</w:t>
      </w:r>
      <w:r w:rsidRPr="005D0B30">
        <w:rPr>
          <w:rFonts w:ascii="Palatino Linotype" w:hAnsi="Palatino Linotype"/>
          <w:sz w:val="24"/>
          <w:szCs w:val="24"/>
          <w:lang w:val="id-ID"/>
        </w:rPr>
        <w:t xml:space="preserve"> di negara-negara Eropa.</w:t>
      </w:r>
      <w:r w:rsidRPr="005D0B30">
        <w:rPr>
          <w:rStyle w:val="FootnoteReference"/>
          <w:rFonts w:ascii="Palatino Linotype" w:hAnsi="Palatino Linotype"/>
          <w:sz w:val="24"/>
          <w:szCs w:val="24"/>
          <w:lang w:val="id-ID"/>
        </w:rPr>
        <w:footnoteReference w:id="13"/>
      </w:r>
      <w:r w:rsidRPr="005D0B30">
        <w:rPr>
          <w:rFonts w:ascii="Palatino Linotype" w:hAnsi="Palatino Linotype"/>
          <w:sz w:val="24"/>
          <w:szCs w:val="24"/>
          <w:lang w:val="id-ID"/>
        </w:rPr>
        <w:t xml:space="preserve"> Alam pemikiran tentang sistem lembaga yudikatif yang berkembang di Eropa Kontinental, persoalan konstitusi dibedakan dari persoalan hukum biasa (</w:t>
      </w:r>
      <w:r w:rsidRPr="005D0B30">
        <w:rPr>
          <w:rFonts w:ascii="Palatino Linotype" w:hAnsi="Palatino Linotype"/>
          <w:i/>
          <w:sz w:val="24"/>
          <w:szCs w:val="24"/>
          <w:lang w:val="id-ID"/>
        </w:rPr>
        <w:t>ordinary law</w:t>
      </w:r>
      <w:r w:rsidRPr="005D0B30">
        <w:rPr>
          <w:rFonts w:ascii="Palatino Linotype" w:hAnsi="Palatino Linotype"/>
          <w:sz w:val="24"/>
          <w:szCs w:val="24"/>
          <w:lang w:val="id-ID"/>
        </w:rPr>
        <w:t xml:space="preserve">). </w:t>
      </w: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lang w:val="id-ID"/>
        </w:rPr>
        <w:t xml:space="preserve">Oleh karena itu, kewenangan </w:t>
      </w:r>
      <w:r w:rsidRPr="005D0B30">
        <w:rPr>
          <w:rFonts w:ascii="Palatino Linotype" w:hAnsi="Palatino Linotype"/>
          <w:i/>
          <w:sz w:val="24"/>
          <w:szCs w:val="24"/>
          <w:lang w:val="id-ID"/>
        </w:rPr>
        <w:t xml:space="preserve">contitutional review </w:t>
      </w:r>
      <w:r w:rsidRPr="005D0B30">
        <w:rPr>
          <w:rFonts w:ascii="Palatino Linotype" w:hAnsi="Palatino Linotype"/>
          <w:sz w:val="24"/>
          <w:szCs w:val="24"/>
          <w:lang w:val="id-ID"/>
        </w:rPr>
        <w:t xml:space="preserve">sama sekali terpisah dari sistem konvensional yudikatif umum. Akan tetapi, jika badan yudikatif umum dan pihak yang berperkara meragukan konstitusionalitas perundang-undangan yang mendasari perkara mereka yang bersengketa, dalam sistem yang berlaku di negara Eropa, masing-masing pihak dapat mengajukan permohonan kepada </w:t>
      </w:r>
      <w:r w:rsidRPr="005D0B30">
        <w:rPr>
          <w:rFonts w:ascii="Palatino Linotype" w:hAnsi="Palatino Linotype"/>
          <w:i/>
          <w:sz w:val="24"/>
          <w:szCs w:val="24"/>
          <w:lang w:val="id-ID"/>
        </w:rPr>
        <w:t>Contitutional Court</w:t>
      </w:r>
      <w:r w:rsidRPr="005D0B30">
        <w:rPr>
          <w:rFonts w:ascii="Palatino Linotype" w:hAnsi="Palatino Linotype"/>
          <w:sz w:val="24"/>
          <w:szCs w:val="24"/>
          <w:lang w:val="id-ID"/>
        </w:rPr>
        <w:t xml:space="preserve"> untuk menyelenggarakan </w:t>
      </w:r>
      <w:r w:rsidRPr="005D0B30">
        <w:rPr>
          <w:rFonts w:ascii="Palatino Linotype" w:hAnsi="Palatino Linotype"/>
          <w:i/>
          <w:sz w:val="24"/>
          <w:szCs w:val="24"/>
          <w:lang w:val="id-ID"/>
        </w:rPr>
        <w:t>contitutional review</w:t>
      </w:r>
      <w:r w:rsidRPr="005D0B30">
        <w:rPr>
          <w:rFonts w:ascii="Palatino Linotype" w:hAnsi="Palatino Linotype"/>
          <w:sz w:val="24"/>
          <w:szCs w:val="24"/>
          <w:lang w:val="id-ID"/>
        </w:rPr>
        <w:t>.</w:t>
      </w:r>
      <w:r w:rsidRPr="005D0B30">
        <w:rPr>
          <w:rFonts w:ascii="Palatino Linotype" w:hAnsi="Palatino Linotype"/>
          <w:sz w:val="24"/>
          <w:szCs w:val="24"/>
        </w:rPr>
        <w:t xml:space="preserve"> Di dalam </w:t>
      </w:r>
      <w:r w:rsidRPr="005D0B30">
        <w:rPr>
          <w:rFonts w:ascii="Palatino Linotype" w:hAnsi="Palatino Linotype"/>
          <w:i/>
          <w:sz w:val="24"/>
          <w:szCs w:val="24"/>
        </w:rPr>
        <w:t>A Model Islamic Contitution</w:t>
      </w:r>
      <w:r w:rsidRPr="005D0B30">
        <w:rPr>
          <w:rFonts w:ascii="Palatino Linotype" w:hAnsi="Palatino Linotype"/>
          <w:sz w:val="24"/>
          <w:szCs w:val="24"/>
        </w:rPr>
        <w:t xml:space="preserve"> sendiri tentang kehakiman dikatakan “</w:t>
      </w:r>
      <w:r w:rsidRPr="005D0B30">
        <w:rPr>
          <w:rFonts w:ascii="Palatino Linotype" w:hAnsi="Palatino Linotype"/>
          <w:i/>
          <w:sz w:val="24"/>
          <w:szCs w:val="24"/>
        </w:rPr>
        <w:t>setiap orang mempunyai hak untuk mengungkapkan setiap kasus di depan pengadilan</w:t>
      </w:r>
      <w:r w:rsidRPr="005D0B30">
        <w:rPr>
          <w:rFonts w:ascii="Palatino Linotype" w:hAnsi="Palatino Linotype"/>
          <w:sz w:val="24"/>
          <w:szCs w:val="24"/>
        </w:rPr>
        <w:t>”.</w:t>
      </w:r>
      <w:r w:rsidRPr="005D0B30">
        <w:rPr>
          <w:rStyle w:val="FootnoteReference"/>
          <w:rFonts w:ascii="Palatino Linotype" w:hAnsi="Palatino Linotype"/>
          <w:sz w:val="24"/>
          <w:szCs w:val="24"/>
        </w:rPr>
        <w:footnoteReference w:id="14"/>
      </w:r>
      <w:r w:rsidRPr="005D0B30">
        <w:rPr>
          <w:rFonts w:ascii="Palatino Linotype" w:hAnsi="Palatino Linotype"/>
          <w:sz w:val="24"/>
          <w:szCs w:val="24"/>
        </w:rPr>
        <w:t xml:space="preserve"> Hal ini sejalan dengan tugas MA </w:t>
      </w:r>
      <w:r w:rsidRPr="005D0B30">
        <w:rPr>
          <w:rFonts w:ascii="Palatino Linotype" w:hAnsi="Palatino Linotype"/>
          <w:sz w:val="24"/>
          <w:szCs w:val="24"/>
        </w:rPr>
        <w:lastRenderedPageBreak/>
        <w:t xml:space="preserve">dan peradilan di bawahnya. Artinya sebagai lembaga kehakiman harus bersifat mandiri dan bebas dari pengaruh eksekutif  dan bertanggungjawab atas pengaturan keadilan dan pemeliharaan hak-hak dan kewajiban. Selain itu juga peran hakim adalah bebas dan tidak ada kewenangan yang mengatasi mereka kecuali kewenangan hukum. </w:t>
      </w: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rPr>
        <w:t xml:space="preserve">Di dalam Pasal 61 </w:t>
      </w:r>
      <w:r w:rsidRPr="005D0B30">
        <w:rPr>
          <w:rFonts w:ascii="Palatino Linotype" w:hAnsi="Palatino Linotype"/>
          <w:i/>
          <w:sz w:val="24"/>
          <w:szCs w:val="24"/>
        </w:rPr>
        <w:t>A Model Islamic Constitution</w:t>
      </w:r>
      <w:r w:rsidRPr="005D0B30">
        <w:rPr>
          <w:rFonts w:ascii="Palatino Linotype" w:hAnsi="Palatino Linotype"/>
          <w:sz w:val="24"/>
          <w:szCs w:val="24"/>
        </w:rPr>
        <w:t xml:space="preserve">, ternyata apa yang dinamakan sebagai Dewan Konstitusi Tinggi, terpisah dari kekuasaan kehakiman, walaupun memiliki fungsi yang mirip dengan MK di Indonesia. Adapun fungsi Dewan Konstitusi Tinggi menurut </w:t>
      </w:r>
      <w:r w:rsidRPr="005D0B30">
        <w:rPr>
          <w:rFonts w:ascii="Palatino Linotype" w:hAnsi="Palatino Linotype"/>
          <w:i/>
          <w:sz w:val="24"/>
          <w:szCs w:val="24"/>
        </w:rPr>
        <w:t xml:space="preserve">A Model Islamic Constitution </w:t>
      </w:r>
      <w:r w:rsidRPr="005D0B30">
        <w:rPr>
          <w:rFonts w:ascii="Palatino Linotype" w:hAnsi="Palatino Linotype"/>
          <w:sz w:val="24"/>
          <w:szCs w:val="24"/>
        </w:rPr>
        <w:t>Pasal 62 meliputi:</w:t>
      </w:r>
    </w:p>
    <w:p w:rsidR="005D0B30" w:rsidRPr="005D0B30" w:rsidRDefault="005D0B30" w:rsidP="005D0B30">
      <w:pPr>
        <w:pStyle w:val="ListParagraph"/>
        <w:numPr>
          <w:ilvl w:val="0"/>
          <w:numId w:val="9"/>
        </w:numPr>
        <w:spacing w:after="0" w:line="240" w:lineRule="auto"/>
        <w:ind w:left="284" w:hanging="284"/>
        <w:jc w:val="both"/>
        <w:rPr>
          <w:rFonts w:ascii="Palatino Linotype" w:hAnsi="Palatino Linotype"/>
        </w:rPr>
      </w:pPr>
      <w:r w:rsidRPr="005D0B30">
        <w:rPr>
          <w:rFonts w:ascii="Palatino Linotype" w:hAnsi="Palatino Linotype"/>
        </w:rPr>
        <w:t>Mengatur masalah-masalah yang timbul akibat hukum yang bertentangan dengan syariat;</w:t>
      </w:r>
    </w:p>
    <w:p w:rsidR="005D0B30" w:rsidRPr="005D0B30" w:rsidRDefault="005D0B30" w:rsidP="005D0B30">
      <w:pPr>
        <w:pStyle w:val="ListParagraph"/>
        <w:numPr>
          <w:ilvl w:val="0"/>
          <w:numId w:val="9"/>
        </w:numPr>
        <w:spacing w:after="0" w:line="240" w:lineRule="auto"/>
        <w:ind w:left="284" w:hanging="284"/>
        <w:jc w:val="both"/>
        <w:rPr>
          <w:rFonts w:ascii="Palatino Linotype" w:hAnsi="Palatino Linotype"/>
        </w:rPr>
      </w:pPr>
      <w:r w:rsidRPr="005D0B30">
        <w:rPr>
          <w:rFonts w:ascii="Palatino Linotype" w:hAnsi="Palatino Linotype"/>
        </w:rPr>
        <w:t>Menafsirkan Konstitusi dan Hukum;</w:t>
      </w:r>
    </w:p>
    <w:p w:rsidR="005D0B30" w:rsidRPr="005D0B30" w:rsidRDefault="005D0B30" w:rsidP="005D0B30">
      <w:pPr>
        <w:pStyle w:val="ListParagraph"/>
        <w:numPr>
          <w:ilvl w:val="0"/>
          <w:numId w:val="9"/>
        </w:numPr>
        <w:spacing w:after="0" w:line="240" w:lineRule="auto"/>
        <w:ind w:left="284" w:hanging="284"/>
        <w:jc w:val="both"/>
        <w:rPr>
          <w:rFonts w:ascii="Palatino Linotype" w:hAnsi="Palatino Linotype"/>
        </w:rPr>
      </w:pPr>
      <w:r w:rsidRPr="005D0B30">
        <w:rPr>
          <w:rFonts w:ascii="Palatino Linotype" w:hAnsi="Palatino Linotype"/>
        </w:rPr>
        <w:t>Memutus Kasus-kasus konflik dalam keputusan hukum;</w:t>
      </w:r>
    </w:p>
    <w:p w:rsidR="005D0B30" w:rsidRPr="005D0B30" w:rsidRDefault="005D0B30" w:rsidP="005D0B30">
      <w:pPr>
        <w:pStyle w:val="ListParagraph"/>
        <w:numPr>
          <w:ilvl w:val="0"/>
          <w:numId w:val="9"/>
        </w:numPr>
        <w:spacing w:after="0" w:line="240" w:lineRule="auto"/>
        <w:ind w:left="284" w:hanging="284"/>
        <w:jc w:val="both"/>
        <w:rPr>
          <w:rFonts w:ascii="Palatino Linotype" w:hAnsi="Palatino Linotype"/>
        </w:rPr>
      </w:pPr>
      <w:r w:rsidRPr="005D0B30">
        <w:rPr>
          <w:rFonts w:ascii="Palatino Linotype" w:hAnsi="Palatino Linotype"/>
        </w:rPr>
        <w:t xml:space="preserve">Mendengarkan dan mengatur keluhan-keluhan terhadap Komisi Pemilihan.  </w:t>
      </w: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lang w:val="id-ID"/>
        </w:rPr>
        <w:t xml:space="preserve">Pemisahan organ yang menguji perbuatan adminsitratif di satu sisi dengan tindakan konstitusi di sisi lain, boleh dikatakan karena ada perbedaan antara hukum privat dan hukum publik. Hukum publik terkait dengan kepentingan umum, sedangkan hukum privat mengatur tentang kepentingan pribadi. </w:t>
      </w:r>
      <w:r w:rsidRPr="005D0B30">
        <w:rPr>
          <w:rFonts w:ascii="Palatino Linotype" w:hAnsi="Palatino Linotype"/>
          <w:i/>
          <w:sz w:val="24"/>
          <w:szCs w:val="24"/>
          <w:lang w:val="id-ID"/>
        </w:rPr>
        <w:t>Contitutional Court</w:t>
      </w:r>
      <w:r w:rsidRPr="005D0B30">
        <w:rPr>
          <w:rFonts w:ascii="Palatino Linotype" w:hAnsi="Palatino Linotype"/>
          <w:sz w:val="24"/>
          <w:szCs w:val="24"/>
          <w:lang w:val="id-ID"/>
        </w:rPr>
        <w:t xml:space="preserve"> erat sekali kaitanya dengan hukum publik, sedangkan </w:t>
      </w:r>
      <w:r w:rsidRPr="005D0B30">
        <w:rPr>
          <w:rFonts w:ascii="Palatino Linotype" w:hAnsi="Palatino Linotype"/>
          <w:i/>
          <w:sz w:val="24"/>
          <w:szCs w:val="24"/>
          <w:lang w:val="id-ID"/>
        </w:rPr>
        <w:t>Supreme Court</w:t>
      </w:r>
      <w:r w:rsidRPr="005D0B30">
        <w:rPr>
          <w:rFonts w:ascii="Palatino Linotype" w:hAnsi="Palatino Linotype"/>
          <w:sz w:val="24"/>
          <w:szCs w:val="24"/>
          <w:lang w:val="id-ID"/>
        </w:rPr>
        <w:t xml:space="preserve"> dapat melakukan keduanya yakni baik perkara privat maupun perkara publik. </w:t>
      </w: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lang w:val="id-ID"/>
        </w:rPr>
        <w:t xml:space="preserve">Dalam sistem hukum yang berkembang di negara Eropa Kontinental perbedaan antara hukum publik dan hukum privat memang dilaksanakan secara ketat terutama di Prancis. Bahkan terhadap pejabat publik diberlakukan hukum tersendiri yang disebut </w:t>
      </w:r>
      <w:r w:rsidRPr="005D0B30">
        <w:rPr>
          <w:rFonts w:ascii="Palatino Linotype" w:hAnsi="Palatino Linotype"/>
          <w:i/>
          <w:sz w:val="24"/>
          <w:szCs w:val="24"/>
          <w:lang w:val="id-ID"/>
        </w:rPr>
        <w:t>Droit Administraief</w:t>
      </w:r>
      <w:r w:rsidRPr="005D0B30">
        <w:rPr>
          <w:rFonts w:ascii="Palatino Linotype" w:hAnsi="Palatino Linotype"/>
          <w:sz w:val="24"/>
          <w:szCs w:val="24"/>
          <w:lang w:val="id-ID"/>
        </w:rPr>
        <w:t xml:space="preserve">. Namun tidak demikian dengan negara-negara yang menganut sistem hukum Anglo Saxon, di negara ini perbedaan yang prinsipal antara hukum publik dan hukum privat dipandang  mengingkari doktrin </w:t>
      </w:r>
      <w:r w:rsidRPr="005D0B30">
        <w:rPr>
          <w:rFonts w:ascii="Palatino Linotype" w:hAnsi="Palatino Linotype"/>
          <w:i/>
          <w:sz w:val="24"/>
          <w:szCs w:val="24"/>
          <w:lang w:val="id-ID"/>
        </w:rPr>
        <w:t>equality before the law</w:t>
      </w:r>
      <w:r w:rsidRPr="005D0B30">
        <w:rPr>
          <w:rFonts w:ascii="Palatino Linotype" w:hAnsi="Palatino Linotype"/>
          <w:sz w:val="24"/>
          <w:szCs w:val="24"/>
          <w:lang w:val="id-ID"/>
        </w:rPr>
        <w:t xml:space="preserve">. Tetapi dalam perjalannya juga terdapat peradilan yang bertugas mengadili perkara-perkara pelanggaran pejabat administrasi atau yang sering disebut </w:t>
      </w:r>
      <w:r w:rsidRPr="005D0B30">
        <w:rPr>
          <w:rFonts w:ascii="Palatino Linotype" w:hAnsi="Palatino Linotype"/>
          <w:i/>
          <w:sz w:val="24"/>
          <w:szCs w:val="24"/>
          <w:lang w:val="id-ID"/>
        </w:rPr>
        <w:t>ultra vires</w:t>
      </w:r>
      <w:r w:rsidRPr="005D0B30">
        <w:rPr>
          <w:rFonts w:ascii="Palatino Linotype" w:hAnsi="Palatino Linotype"/>
          <w:sz w:val="24"/>
          <w:szCs w:val="24"/>
          <w:lang w:val="id-ID"/>
        </w:rPr>
        <w:t>.</w:t>
      </w:r>
      <w:r w:rsidRPr="005D0B30">
        <w:rPr>
          <w:rStyle w:val="FootnoteReference"/>
          <w:rFonts w:ascii="Palatino Linotype" w:hAnsi="Palatino Linotype"/>
          <w:sz w:val="24"/>
          <w:szCs w:val="24"/>
          <w:lang w:val="id-ID"/>
        </w:rPr>
        <w:footnoteReference w:id="15"/>
      </w:r>
      <w:r w:rsidRPr="005D0B30">
        <w:rPr>
          <w:rFonts w:ascii="Palatino Linotype" w:hAnsi="Palatino Linotype"/>
          <w:sz w:val="24"/>
          <w:szCs w:val="24"/>
          <w:lang w:val="id-ID"/>
        </w:rPr>
        <w:t xml:space="preserve"> Begitu juga di Indonesia memiliki lembaga peradilan yang berkaitan dengan penyelesaian kasus administrasi. Namun, untuk pengadilan yang diberikan tugas khusus mengawal konstitusi dari pertentangan perundang-undangan terhadap UUD 1945 diberikan pada Mahkamah Konstitusi.</w:t>
      </w:r>
      <w:r w:rsidRPr="005D0B30">
        <w:rPr>
          <w:rFonts w:ascii="Palatino Linotype" w:hAnsi="Palatino Linotype"/>
          <w:sz w:val="24"/>
          <w:szCs w:val="24"/>
        </w:rPr>
        <w:t xml:space="preserve"> Perkembangan </w:t>
      </w:r>
      <w:r w:rsidRPr="005D0B30">
        <w:rPr>
          <w:rFonts w:ascii="Palatino Linotype" w:hAnsi="Palatino Linotype"/>
          <w:sz w:val="24"/>
          <w:szCs w:val="24"/>
          <w:lang w:val="id-ID"/>
        </w:rPr>
        <w:t xml:space="preserve">yudikatif Indonesia dapat di lihat dari sejarah kegagalan </w:t>
      </w:r>
      <w:r w:rsidRPr="005D0B30">
        <w:rPr>
          <w:rFonts w:ascii="Palatino Linotype" w:hAnsi="Palatino Linotype"/>
          <w:i/>
          <w:sz w:val="24"/>
          <w:szCs w:val="24"/>
          <w:lang w:val="id-ID"/>
        </w:rPr>
        <w:t>Staatgerichtsof</w:t>
      </w:r>
      <w:r w:rsidRPr="005D0B30">
        <w:rPr>
          <w:rFonts w:ascii="Palatino Linotype" w:hAnsi="Palatino Linotype"/>
          <w:sz w:val="24"/>
          <w:szCs w:val="24"/>
          <w:lang w:val="id-ID"/>
        </w:rPr>
        <w:t xml:space="preserve"> yang diberi tugas untuk mengadili aneka hukum. Semula </w:t>
      </w:r>
      <w:r w:rsidRPr="005D0B30">
        <w:rPr>
          <w:rFonts w:ascii="Palatino Linotype" w:hAnsi="Palatino Linotype"/>
          <w:i/>
          <w:sz w:val="24"/>
          <w:szCs w:val="24"/>
          <w:lang w:val="id-ID"/>
        </w:rPr>
        <w:t>Staatgerichtsof</w:t>
      </w:r>
      <w:r w:rsidRPr="005D0B30">
        <w:rPr>
          <w:rFonts w:ascii="Palatino Linotype" w:hAnsi="Palatino Linotype"/>
          <w:sz w:val="24"/>
          <w:szCs w:val="24"/>
          <w:lang w:val="id-ID"/>
        </w:rPr>
        <w:t xml:space="preserve"> dilengkapi oleh kewenangan untuk menyelesaikan sengketa juridiksional dan sebagai organ yang bertugas untuk melindungi Hak Asasi Manusia (HAM), hal tersebut lebih disebabkan pemerintah tidak sudi melihat otoritas hukum mengatasi otoritas politik. </w:t>
      </w: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lang w:val="id-ID"/>
        </w:rPr>
        <w:lastRenderedPageBreak/>
        <w:t>Tahun 1919</w:t>
      </w:r>
      <w:r w:rsidRPr="005D0B30">
        <w:rPr>
          <w:rStyle w:val="FootnoteReference"/>
          <w:rFonts w:ascii="Palatino Linotype" w:hAnsi="Palatino Linotype"/>
          <w:sz w:val="24"/>
          <w:szCs w:val="24"/>
          <w:lang w:val="id-ID"/>
        </w:rPr>
        <w:footnoteReference w:id="16"/>
      </w:r>
      <w:r w:rsidRPr="005D0B30">
        <w:rPr>
          <w:rFonts w:ascii="Palatino Linotype" w:hAnsi="Palatino Linotype"/>
          <w:sz w:val="24"/>
          <w:szCs w:val="24"/>
          <w:lang w:val="id-ID"/>
        </w:rPr>
        <w:t xml:space="preserve"> Weimar </w:t>
      </w:r>
      <w:r w:rsidRPr="005D0B30">
        <w:rPr>
          <w:rFonts w:ascii="Palatino Linotype" w:hAnsi="Palatino Linotype"/>
          <w:i/>
          <w:sz w:val="24"/>
          <w:szCs w:val="24"/>
          <w:lang w:val="id-ID"/>
        </w:rPr>
        <w:t>Constitution</w:t>
      </w:r>
      <w:r w:rsidRPr="005D0B30">
        <w:rPr>
          <w:rFonts w:ascii="Palatino Linotype" w:hAnsi="Palatino Linotype"/>
          <w:sz w:val="24"/>
          <w:szCs w:val="24"/>
          <w:lang w:val="id-ID"/>
        </w:rPr>
        <w:t xml:space="preserve"> kembali membentuk pengadilan tertinggi yang memiliki struktur kelembagaan dan kewenangan yang serupa dengan </w:t>
      </w:r>
      <w:r w:rsidRPr="005D0B30">
        <w:rPr>
          <w:rFonts w:ascii="Palatino Linotype" w:hAnsi="Palatino Linotype"/>
          <w:i/>
          <w:sz w:val="24"/>
          <w:szCs w:val="24"/>
          <w:lang w:val="id-ID"/>
        </w:rPr>
        <w:t>Staatgerichtsof</w:t>
      </w:r>
      <w:r w:rsidRPr="005D0B30">
        <w:rPr>
          <w:rFonts w:ascii="Palatino Linotype" w:hAnsi="Palatino Linotype"/>
          <w:sz w:val="24"/>
          <w:szCs w:val="24"/>
          <w:lang w:val="id-ID"/>
        </w:rPr>
        <w:t>. Semula pengadilan tersebut didesain untuk menyelesaikan sengketa antara kekaisaran dan negara bagian.</w:t>
      </w:r>
      <w:r w:rsidRPr="005D0B30">
        <w:rPr>
          <w:rStyle w:val="FootnoteReference"/>
          <w:rFonts w:ascii="Palatino Linotype" w:hAnsi="Palatino Linotype"/>
          <w:sz w:val="24"/>
          <w:szCs w:val="24"/>
          <w:lang w:val="id-ID"/>
        </w:rPr>
        <w:footnoteReference w:id="17"/>
      </w:r>
      <w:r w:rsidRPr="005D0B30">
        <w:rPr>
          <w:rFonts w:ascii="Palatino Linotype" w:hAnsi="Palatino Linotype"/>
          <w:sz w:val="24"/>
          <w:szCs w:val="24"/>
          <w:lang w:val="id-ID"/>
        </w:rPr>
        <w:t xml:space="preserve"> Lembaga tersebut tidak memperoleh pengakuan kaisar yang mendalilkan bahwa penyelesaian sengketa juridiksional tidak tepat diselesaikan oleh lembaga peradilan. </w:t>
      </w: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lang w:val="id-ID"/>
        </w:rPr>
        <w:t xml:space="preserve">Perlu dicatat pendapat Alfred Rinken dalam karya </w:t>
      </w:r>
      <w:r w:rsidRPr="005D0B30">
        <w:rPr>
          <w:rFonts w:ascii="Palatino Linotype" w:hAnsi="Palatino Linotype"/>
          <w:i/>
          <w:sz w:val="24"/>
          <w:szCs w:val="24"/>
          <w:lang w:val="id-ID"/>
        </w:rPr>
        <w:t>Contitutional Court in Comparation, menyatakan; The German Empire of 1971 was not interested in basic ringht or in or the state adjudication,</w:t>
      </w:r>
      <w:r w:rsidRPr="005D0B30">
        <w:rPr>
          <w:rFonts w:ascii="Palatino Linotype" w:hAnsi="Palatino Linotype"/>
          <w:sz w:val="24"/>
          <w:szCs w:val="24"/>
          <w:lang w:val="id-ID"/>
        </w:rPr>
        <w:t xml:space="preserve"> pendapat tersebut diperkuat oleh pendapat Riken Bismark yakni </w:t>
      </w:r>
      <w:r w:rsidRPr="005D0B30">
        <w:rPr>
          <w:rFonts w:ascii="Palatino Linotype" w:hAnsi="Palatino Linotype"/>
          <w:i/>
          <w:sz w:val="24"/>
          <w:szCs w:val="24"/>
          <w:lang w:val="id-ID"/>
        </w:rPr>
        <w:t>allowet event federal conflict to be resolved by the federal assemby</w:t>
      </w:r>
      <w:r w:rsidRPr="005D0B30">
        <w:rPr>
          <w:rFonts w:ascii="Palatino Linotype" w:hAnsi="Palatino Linotype"/>
          <w:sz w:val="24"/>
          <w:szCs w:val="24"/>
          <w:lang w:val="id-ID"/>
        </w:rPr>
        <w:t>.</w:t>
      </w:r>
      <w:r w:rsidRPr="005D0B30">
        <w:rPr>
          <w:rStyle w:val="FootnoteReference"/>
          <w:rFonts w:ascii="Palatino Linotype" w:hAnsi="Palatino Linotype"/>
          <w:sz w:val="24"/>
          <w:szCs w:val="24"/>
          <w:lang w:val="id-ID"/>
        </w:rPr>
        <w:footnoteReference w:id="18"/>
      </w:r>
      <w:r w:rsidRPr="005D0B30">
        <w:rPr>
          <w:rFonts w:ascii="Palatino Linotype" w:hAnsi="Palatino Linotype"/>
          <w:sz w:val="24"/>
          <w:szCs w:val="24"/>
          <w:lang w:val="id-ID"/>
        </w:rPr>
        <w:t xml:space="preserve"> </w:t>
      </w: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lang w:val="id-ID"/>
        </w:rPr>
        <w:t>Pada Konstitusi Weimar (1919) Presiden juga berperan sebagai pelindung konstitusi (</w:t>
      </w:r>
      <w:r w:rsidRPr="005D0B30">
        <w:rPr>
          <w:rFonts w:ascii="Palatino Linotype" w:hAnsi="Palatino Linotype"/>
          <w:i/>
          <w:sz w:val="24"/>
          <w:szCs w:val="24"/>
          <w:lang w:val="id-ID"/>
        </w:rPr>
        <w:t>the guardion contitution</w:t>
      </w:r>
      <w:r w:rsidRPr="005D0B30">
        <w:rPr>
          <w:rFonts w:ascii="Palatino Linotype" w:hAnsi="Palatino Linotype"/>
          <w:sz w:val="24"/>
          <w:szCs w:val="24"/>
          <w:lang w:val="id-ID"/>
        </w:rPr>
        <w:t xml:space="preserve">), presiden dipilih oleh seluruh rakyat Jerman yang membentuk konstitusi. </w:t>
      </w:r>
      <w:r w:rsidRPr="005D0B30">
        <w:rPr>
          <w:rFonts w:ascii="Palatino Linotype" w:hAnsi="Palatino Linotype"/>
          <w:i/>
          <w:sz w:val="24"/>
          <w:szCs w:val="24"/>
          <w:lang w:val="id-ID"/>
        </w:rPr>
        <w:t>Locus</w:t>
      </w:r>
      <w:r w:rsidRPr="005D0B30">
        <w:rPr>
          <w:rFonts w:ascii="Palatino Linotype" w:hAnsi="Palatino Linotype"/>
          <w:sz w:val="24"/>
          <w:szCs w:val="24"/>
          <w:lang w:val="id-ID"/>
        </w:rPr>
        <w:t xml:space="preserve"> kedaulatan terakumulasi ke dalam kekuasaan presiden dan sebagai satu-satunya mandataris nasional yang merupakan penjelmaan dari seluruh rakyat Jerman. Tidak, heran presiden pada saat mengambil totalitas mandat negara untuk menjalankan sistem kekuasaan terpusat dan berkesinambungan. </w:t>
      </w: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lang w:val="id-ID"/>
        </w:rPr>
        <w:t xml:space="preserve">Konstitusi Weimar sebagai alat peraga yang paling mutakhir untuk menggambarkan kegagalan negara hukum dan demokrasi Jerman pada tahun 1919 oleh </w:t>
      </w:r>
      <w:r w:rsidRPr="005D0B30">
        <w:rPr>
          <w:rFonts w:ascii="Palatino Linotype" w:hAnsi="Palatino Linotype"/>
          <w:i/>
          <w:sz w:val="24"/>
          <w:szCs w:val="24"/>
          <w:lang w:val="id-ID"/>
        </w:rPr>
        <w:t>faunding father</w:t>
      </w:r>
      <w:r w:rsidRPr="005D0B30">
        <w:rPr>
          <w:rFonts w:ascii="Palatino Linotype" w:hAnsi="Palatino Linotype"/>
          <w:sz w:val="24"/>
          <w:szCs w:val="24"/>
          <w:lang w:val="id-ID"/>
        </w:rPr>
        <w:t xml:space="preserve"> Republik Indonesia.</w:t>
      </w:r>
      <w:r w:rsidRPr="005D0B30">
        <w:rPr>
          <w:rStyle w:val="FootnoteReference"/>
          <w:rFonts w:ascii="Palatino Linotype" w:hAnsi="Palatino Linotype"/>
          <w:sz w:val="24"/>
          <w:szCs w:val="24"/>
          <w:lang w:val="id-ID"/>
        </w:rPr>
        <w:footnoteReference w:id="19"/>
      </w:r>
      <w:r w:rsidRPr="005D0B30">
        <w:rPr>
          <w:rFonts w:ascii="Palatino Linotype" w:hAnsi="Palatino Linotype"/>
          <w:sz w:val="24"/>
          <w:szCs w:val="24"/>
          <w:lang w:val="id-ID"/>
        </w:rPr>
        <w:t xml:space="preserve"> Kondisi Jerman yang mendambakan lahirnya sebuah lembaga penyelesai sengketa dan pengawal konstitusi kurang berhasil, disebabkan Hitler yang tidak menghendaki demokrasi dan kurang memberikan penghargaan terhadap perkembangan negara hukum.</w:t>
      </w:r>
      <w:r w:rsidRPr="005D0B30">
        <w:rPr>
          <w:rFonts w:ascii="Palatino Linotype" w:hAnsi="Palatino Linotype"/>
          <w:sz w:val="24"/>
          <w:szCs w:val="24"/>
        </w:rPr>
        <w:t xml:space="preserve"> </w:t>
      </w:r>
    </w:p>
    <w:p w:rsidR="005D0B30" w:rsidRPr="005D0B30" w:rsidRDefault="005D0B30" w:rsidP="005D0B30">
      <w:pPr>
        <w:spacing w:after="0" w:line="240" w:lineRule="auto"/>
        <w:ind w:left="720" w:firstLine="720"/>
        <w:jc w:val="both"/>
        <w:rPr>
          <w:rFonts w:ascii="Palatino Linotype" w:hAnsi="Palatino Linotype"/>
          <w:sz w:val="24"/>
          <w:szCs w:val="24"/>
        </w:rPr>
      </w:pPr>
      <w:r w:rsidRPr="005D0B30">
        <w:rPr>
          <w:rFonts w:ascii="Palatino Linotype" w:hAnsi="Palatino Linotype"/>
          <w:sz w:val="24"/>
          <w:szCs w:val="24"/>
        </w:rPr>
        <w:t xml:space="preserve">Sedangkan UUD 1945 tidak menghendaki demikian, justru UUD 1945 lebih sejalan dengan </w:t>
      </w:r>
      <w:r w:rsidRPr="005D0B30">
        <w:rPr>
          <w:rFonts w:ascii="Palatino Linotype" w:hAnsi="Palatino Linotype"/>
          <w:i/>
          <w:sz w:val="24"/>
          <w:szCs w:val="24"/>
        </w:rPr>
        <w:t>A Model Islamic Constitution</w:t>
      </w:r>
      <w:r w:rsidRPr="005D0B30">
        <w:rPr>
          <w:rFonts w:ascii="Palatino Linotype" w:hAnsi="Palatino Linotype"/>
          <w:sz w:val="24"/>
          <w:szCs w:val="24"/>
        </w:rPr>
        <w:t xml:space="preserve"> yang menyatakan “Kekuasaan adalah amanat yang harus dijalankan sesuai dengan amanat”. Begitu juga dengan Indonesia yang menyatakan dirinya sebagai negara hukum yang bersumber dari Pancasila dan Konstitusi. Sedangkan </w:t>
      </w:r>
      <w:r w:rsidRPr="005D0B30">
        <w:rPr>
          <w:rFonts w:ascii="Palatino Linotype" w:hAnsi="Palatino Linotype"/>
          <w:i/>
          <w:sz w:val="24"/>
          <w:szCs w:val="24"/>
        </w:rPr>
        <w:t>A Model Islamic Constitution</w:t>
      </w:r>
      <w:r w:rsidRPr="005D0B30">
        <w:rPr>
          <w:rFonts w:ascii="Palatino Linotype" w:hAnsi="Palatino Linotype"/>
          <w:sz w:val="24"/>
          <w:szCs w:val="24"/>
        </w:rPr>
        <w:t xml:space="preserve"> bersumber dari Al-Qur’an dan Sunnah sebagai sumber hukum dan kebijakan.</w:t>
      </w: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lang w:val="id-ID"/>
        </w:rPr>
        <w:t xml:space="preserve">Supremasi konstitusi berkembang berbanding lurus dengan ide </w:t>
      </w:r>
      <w:r w:rsidRPr="005D0B30">
        <w:rPr>
          <w:rFonts w:ascii="Palatino Linotype" w:hAnsi="Palatino Linotype"/>
          <w:i/>
          <w:sz w:val="24"/>
          <w:szCs w:val="24"/>
          <w:lang w:val="id-ID"/>
        </w:rPr>
        <w:t>rechtsstaat</w:t>
      </w:r>
      <w:r w:rsidRPr="005D0B30">
        <w:rPr>
          <w:rFonts w:ascii="Palatino Linotype" w:hAnsi="Palatino Linotype"/>
          <w:sz w:val="24"/>
          <w:szCs w:val="24"/>
          <w:lang w:val="id-ID"/>
        </w:rPr>
        <w:t xml:space="preserve"> yang diintrodusir oleh Immanuel Kant. Gagasan Kant supremasi konstitusi mengandung arti dan tujuan menegakan keamanan dan ketertiban masyarakat.</w:t>
      </w:r>
      <w:r w:rsidRPr="005D0B30">
        <w:rPr>
          <w:rStyle w:val="FootnoteReference"/>
          <w:rFonts w:ascii="Palatino Linotype" w:hAnsi="Palatino Linotype"/>
          <w:sz w:val="24"/>
          <w:szCs w:val="24"/>
          <w:lang w:val="id-ID"/>
        </w:rPr>
        <w:footnoteReference w:id="20"/>
      </w:r>
      <w:r w:rsidRPr="005D0B30">
        <w:rPr>
          <w:rFonts w:ascii="Palatino Linotype" w:hAnsi="Palatino Linotype"/>
          <w:sz w:val="24"/>
          <w:szCs w:val="24"/>
          <w:lang w:val="id-ID"/>
        </w:rPr>
        <w:t xml:space="preserve"> Pendapat tersebut dilatarbelakangi oleh masalah keamanan dan kemakmuran tidak mencakup </w:t>
      </w:r>
      <w:r w:rsidRPr="005D0B30">
        <w:rPr>
          <w:rFonts w:ascii="Palatino Linotype" w:hAnsi="Palatino Linotype"/>
          <w:sz w:val="24"/>
          <w:szCs w:val="24"/>
          <w:lang w:val="id-ID"/>
        </w:rPr>
        <w:lastRenderedPageBreak/>
        <w:t>kewenangan yang dapat diatur oleh negara. Namun, dalam perkembangan selanjutnya konsep negara hukum yang antara lain dikembangkan oleh Julius Stahl melahirkan peran negara yang begitu luas yang dituangkan kedalam peraturan perundang-undangan.</w:t>
      </w:r>
      <w:r w:rsidRPr="005D0B30">
        <w:rPr>
          <w:rStyle w:val="FootnoteReference"/>
          <w:rFonts w:ascii="Palatino Linotype" w:hAnsi="Palatino Linotype"/>
          <w:sz w:val="24"/>
          <w:szCs w:val="24"/>
          <w:lang w:val="id-ID"/>
        </w:rPr>
        <w:footnoteReference w:id="21"/>
      </w:r>
      <w:r w:rsidRPr="005D0B30">
        <w:rPr>
          <w:rFonts w:ascii="Palatino Linotype" w:hAnsi="Palatino Linotype"/>
          <w:sz w:val="24"/>
          <w:szCs w:val="24"/>
          <w:lang w:val="id-ID"/>
        </w:rPr>
        <w:t xml:space="preserve"> </w:t>
      </w: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lang w:val="id-ID"/>
        </w:rPr>
        <w:t xml:space="preserve">Unsur pemerintahan yang berdasarkan peraturan perundang-undangan dinilai tidak menghasilkan pertumbuhan politik hukum supremasi konstitusi dan konsep negara hukum yang memadai, untuk mengatasi pendapat Kant maka lahirlah konsepsi material </w:t>
      </w:r>
      <w:r w:rsidRPr="005D0B30">
        <w:rPr>
          <w:rFonts w:ascii="Palatino Linotype" w:hAnsi="Palatino Linotype"/>
          <w:i/>
          <w:sz w:val="24"/>
          <w:szCs w:val="24"/>
          <w:lang w:val="id-ID"/>
        </w:rPr>
        <w:t>rechsstaat</w:t>
      </w:r>
      <w:r w:rsidRPr="005D0B30">
        <w:rPr>
          <w:rFonts w:ascii="Palatino Linotype" w:hAnsi="Palatino Linotype"/>
          <w:sz w:val="24"/>
          <w:szCs w:val="24"/>
          <w:lang w:val="id-ID"/>
        </w:rPr>
        <w:t>.</w:t>
      </w:r>
      <w:r w:rsidRPr="005D0B30">
        <w:rPr>
          <w:rStyle w:val="FootnoteReference"/>
          <w:rFonts w:ascii="Palatino Linotype" w:hAnsi="Palatino Linotype"/>
          <w:sz w:val="24"/>
          <w:szCs w:val="24"/>
          <w:lang w:val="id-ID"/>
        </w:rPr>
        <w:footnoteReference w:id="22"/>
      </w:r>
      <w:r w:rsidRPr="005D0B30">
        <w:rPr>
          <w:rFonts w:ascii="Palatino Linotype" w:hAnsi="Palatino Linotype"/>
          <w:sz w:val="24"/>
          <w:szCs w:val="24"/>
          <w:lang w:val="id-ID"/>
        </w:rPr>
        <w:t xml:space="preserve"> Terkait dengan pendapat Kant dan Julius, maka Carl Schmitt menawarkan ide yang dapat digunakan untuk mengendalikan kekuasaan melalui instrument yuridis dan sistem kontrol kelembagaan, selain itu dapat memastikan tentang bekerjanya lembaga kekuasaan negara terhadap ketentuan-ketentuan hukum.</w:t>
      </w: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lang w:val="id-ID"/>
        </w:rPr>
        <w:t>Negara berdasarkan hukum, keberadaan norma-norma hukum yang mengatur tatanan kehidupan masyarakat untuk mencapai ketertiban adalah karakter umum dari sebuah negara hukum. Oleh karena itu, politik hukum masyarakat sedikit banyak berjalan dengan tertib dan teratur didukung oleh adanya suatu tatanan konstitusi yang baik pula. Karena adanya tatanan politik hukum yang baik maka kehidupan masyarakat menjadi lebih tertib.</w:t>
      </w:r>
      <w:r w:rsidRPr="005D0B30">
        <w:rPr>
          <w:rStyle w:val="FootnoteReference"/>
          <w:rFonts w:ascii="Palatino Linotype" w:hAnsi="Palatino Linotype"/>
          <w:sz w:val="24"/>
          <w:szCs w:val="24"/>
          <w:lang w:val="id-ID"/>
        </w:rPr>
        <w:footnoteReference w:id="23"/>
      </w:r>
      <w:r w:rsidRPr="005D0B30">
        <w:rPr>
          <w:rFonts w:ascii="Palatino Linotype" w:hAnsi="Palatino Linotype"/>
          <w:sz w:val="24"/>
          <w:szCs w:val="24"/>
          <w:lang w:val="id-ID"/>
        </w:rPr>
        <w:t xml:space="preserve"> Menurut Gustav Radbruch sebagaimana dikutif oleh Satjipto Rahardjo menyatakan:</w:t>
      </w:r>
    </w:p>
    <w:p w:rsidR="005D0B30" w:rsidRPr="005D0B30" w:rsidRDefault="005D0B30" w:rsidP="005D0B30">
      <w:pPr>
        <w:spacing w:after="0" w:line="240" w:lineRule="auto"/>
        <w:ind w:left="1980"/>
        <w:jc w:val="both"/>
        <w:rPr>
          <w:rFonts w:ascii="Palatino Linotype" w:hAnsi="Palatino Linotype"/>
          <w:i/>
          <w:sz w:val="24"/>
          <w:szCs w:val="24"/>
        </w:rPr>
      </w:pPr>
      <w:r w:rsidRPr="005D0B30">
        <w:rPr>
          <w:rFonts w:ascii="Palatino Linotype" w:hAnsi="Palatino Linotype"/>
          <w:i/>
          <w:sz w:val="24"/>
          <w:szCs w:val="24"/>
          <w:lang w:val="id-ID"/>
        </w:rPr>
        <w:t>Ketertiban yang didukung oleh adanya tatanan maka pengamatan lebih lanjut ternyata terdiri dari berbagai tatanan yang mempunyai sifat-sifat berlainan. Tetapi, pandangan mengenai kehidupan yang pantas dan teratur tidak selalu sama antara pribadi yang satu dengan pribadi yang lain. Dengan demikian, diperlukan pedoman atau patokan, agar kehidupan bersama manusia tidak menjadi lebih pantas dan tidak teratur.</w:t>
      </w:r>
      <w:r w:rsidRPr="005D0B30">
        <w:rPr>
          <w:rStyle w:val="FootnoteReference"/>
          <w:rFonts w:ascii="Palatino Linotype" w:hAnsi="Palatino Linotype"/>
          <w:i/>
          <w:sz w:val="24"/>
          <w:szCs w:val="24"/>
          <w:lang w:val="id-ID"/>
        </w:rPr>
        <w:footnoteReference w:id="24"/>
      </w: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lang w:val="id-ID"/>
        </w:rPr>
        <w:t xml:space="preserve">Menentukan rujukan bagi kehidupan bersama, diperlukan kaidah tertinggi yang berfungsi sebagai landasan utama yang mengatur kehidupan kolektif. Landasan tersebut sering dikenal dengan sebutan konstitusi atau di Indonesia dikenal dengan sebutan UUD 1945. Konstitusi dalam pengertiannya sebagai hukum dasar harus menentukan politik hukum yang teratur dan harmonis, sehingga dapat menciptakan tatatan kehidupan masyarakat  yang berkeadilan. Sedangkan, konstitusi dalam pengertiannya sebagai hukum merupakan kumpulan-kumpulan keputusan masyarakat yang dijadikan rumusan normatif dan selanjutnya harus berlaku dalam politik hukum masyarakat suatu negara. </w:t>
      </w: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lang w:val="id-ID"/>
        </w:rPr>
        <w:lastRenderedPageBreak/>
        <w:t xml:space="preserve">Rumusan normatif konstitusi tentu saja tidak dapat dilepaskan dari ajaran demokrasi yang secara praktis digambarkan sebagai </w:t>
      </w:r>
      <w:r w:rsidRPr="005D0B30">
        <w:rPr>
          <w:rFonts w:ascii="Palatino Linotype" w:hAnsi="Palatino Linotype"/>
          <w:i/>
          <w:sz w:val="24"/>
          <w:szCs w:val="24"/>
          <w:lang w:val="id-ID"/>
        </w:rPr>
        <w:t>the government from the people, by the people and for the people</w:t>
      </w:r>
      <w:r w:rsidRPr="005D0B30">
        <w:rPr>
          <w:rFonts w:ascii="Palatino Linotype" w:hAnsi="Palatino Linotype"/>
          <w:sz w:val="24"/>
          <w:szCs w:val="24"/>
          <w:lang w:val="id-ID"/>
        </w:rPr>
        <w:t>. Perlu dipastikan bahwa kedudukan supremasi konstitusi dalam kehidupan bernegara sangat penting. Pendapat tersebut sejalan dengan Jimly Asshiddiqie yang pada intinya menyatakan bahwa konstitusi menjadi desain utama dan pokok dari sistem aturan yang berlaku sebagai pegangan bersama dalam kehidupan warga negara dalam suatu negara, keseluruhannya membentuk satu kesatuan sistem hukum yang tidak ubahnya bagaikan suatu agama (</w:t>
      </w:r>
      <w:r w:rsidRPr="005D0B30">
        <w:rPr>
          <w:rFonts w:ascii="Palatino Linotype" w:hAnsi="Palatino Linotype"/>
          <w:i/>
          <w:sz w:val="24"/>
          <w:szCs w:val="24"/>
          <w:lang w:val="id-ID"/>
        </w:rPr>
        <w:t>contitutional faith</w:t>
      </w:r>
      <w:r w:rsidRPr="005D0B30">
        <w:rPr>
          <w:rFonts w:ascii="Palatino Linotype" w:hAnsi="Palatino Linotype"/>
          <w:sz w:val="24"/>
          <w:szCs w:val="24"/>
          <w:lang w:val="id-ID"/>
        </w:rPr>
        <w:t xml:space="preserve">) atau </w:t>
      </w:r>
      <w:r w:rsidRPr="005D0B30">
        <w:rPr>
          <w:rFonts w:ascii="Palatino Linotype" w:hAnsi="Palatino Linotype"/>
          <w:i/>
          <w:sz w:val="24"/>
          <w:szCs w:val="24"/>
          <w:lang w:val="id-ID"/>
        </w:rPr>
        <w:t>civil religion</w:t>
      </w:r>
      <w:r w:rsidRPr="005D0B30">
        <w:rPr>
          <w:rFonts w:ascii="Palatino Linotype" w:hAnsi="Palatino Linotype"/>
          <w:sz w:val="24"/>
          <w:szCs w:val="24"/>
          <w:lang w:val="id-ID"/>
        </w:rPr>
        <w:t xml:space="preserve"> bagi setiap negara. Supremasi konstitusi dan negara hukum harus menjadi suatu yang hidup dalam pratik kehidupan negara sehari-hari.</w:t>
      </w:r>
      <w:r w:rsidRPr="005D0B30">
        <w:rPr>
          <w:rStyle w:val="FootnoteReference"/>
          <w:rFonts w:ascii="Palatino Linotype" w:hAnsi="Palatino Linotype"/>
          <w:sz w:val="24"/>
          <w:szCs w:val="24"/>
          <w:lang w:val="id-ID"/>
        </w:rPr>
        <w:footnoteReference w:id="25"/>
      </w:r>
      <w:r w:rsidRPr="005D0B30">
        <w:rPr>
          <w:rFonts w:ascii="Palatino Linotype" w:hAnsi="Palatino Linotype"/>
          <w:sz w:val="24"/>
          <w:szCs w:val="24"/>
          <w:lang w:val="id-ID"/>
        </w:rPr>
        <w:t xml:space="preserve"> </w:t>
      </w: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lang w:val="id-ID"/>
        </w:rPr>
        <w:t>Dalam tataran praktis (</w:t>
      </w:r>
      <w:r w:rsidRPr="005D0B30">
        <w:rPr>
          <w:rFonts w:ascii="Palatino Linotype" w:hAnsi="Palatino Linotype"/>
          <w:i/>
          <w:sz w:val="24"/>
          <w:szCs w:val="24"/>
          <w:lang w:val="id-ID"/>
        </w:rPr>
        <w:t>law in action</w:t>
      </w:r>
      <w:r w:rsidRPr="005D0B30">
        <w:rPr>
          <w:rFonts w:ascii="Palatino Linotype" w:hAnsi="Palatino Linotype"/>
          <w:sz w:val="24"/>
          <w:szCs w:val="24"/>
          <w:lang w:val="id-ID"/>
        </w:rPr>
        <w:t>) selalu terdapat persengketaan di antara pihak yang berkepentingan. Akibatnya dibutuhkan mekanisme penyelesaian konflik hukum dan politik oleh badan peradilan. Strategi tersebut melahirkan teori yang menghendaki delegasi hukum kepada badan peradilan, tindakan inilah yang menciptakan zone diskresi bagi hukum.</w:t>
      </w:r>
      <w:r w:rsidRPr="005D0B30">
        <w:rPr>
          <w:rStyle w:val="FootnoteReference"/>
          <w:rFonts w:ascii="Palatino Linotype" w:hAnsi="Palatino Linotype"/>
          <w:sz w:val="24"/>
          <w:szCs w:val="24"/>
          <w:lang w:val="id-ID"/>
        </w:rPr>
        <w:footnoteReference w:id="26"/>
      </w:r>
      <w:r w:rsidRPr="005D0B30">
        <w:rPr>
          <w:rFonts w:ascii="Palatino Linotype" w:hAnsi="Palatino Linotype"/>
          <w:sz w:val="24"/>
          <w:szCs w:val="24"/>
          <w:lang w:val="id-ID"/>
        </w:rPr>
        <w:t xml:space="preserve"> Logika fungsional akan membantu memecahkan dan memahami sejauhmana sesungguhnya organ politik mendelegasikan persengketaan dilihat dari lembaga peradilan melalui sejarah politik hukum lembaga peradilan dalam menjalankan tugasnya mengawal dan menjaga hukum nasional. Sejarah lahirnya </w:t>
      </w:r>
      <w:r w:rsidRPr="005D0B30">
        <w:rPr>
          <w:rFonts w:ascii="Palatino Linotype" w:hAnsi="Palatino Linotype"/>
          <w:i/>
          <w:sz w:val="24"/>
          <w:szCs w:val="24"/>
          <w:lang w:val="id-ID"/>
        </w:rPr>
        <w:t>dual yuridiction</w:t>
      </w:r>
      <w:r w:rsidRPr="005D0B30">
        <w:rPr>
          <w:rFonts w:ascii="Palatino Linotype" w:hAnsi="Palatino Linotype"/>
          <w:sz w:val="24"/>
          <w:szCs w:val="24"/>
          <w:lang w:val="id-ID"/>
        </w:rPr>
        <w:t xml:space="preserve"> lembaga yudikatif tidak terlepas dari politik hukum yang berkaitan dengan supremasi konstitusi dan konsep tentang negara hukum.</w:t>
      </w:r>
    </w:p>
    <w:p w:rsidR="005D0B30" w:rsidRPr="005D0B30" w:rsidRDefault="005D0B30" w:rsidP="005D0B30">
      <w:pPr>
        <w:spacing w:after="0" w:line="240" w:lineRule="auto"/>
        <w:jc w:val="both"/>
        <w:rPr>
          <w:rFonts w:ascii="Palatino Linotype" w:hAnsi="Palatino Linotype"/>
          <w:sz w:val="24"/>
          <w:szCs w:val="24"/>
        </w:rPr>
      </w:pPr>
    </w:p>
    <w:p w:rsidR="005D0B30" w:rsidRPr="005D0B30" w:rsidRDefault="005D0B30" w:rsidP="005D0B30">
      <w:pPr>
        <w:pStyle w:val="ListParagraph"/>
        <w:numPr>
          <w:ilvl w:val="0"/>
          <w:numId w:val="17"/>
        </w:numPr>
        <w:spacing w:after="0" w:line="240" w:lineRule="auto"/>
        <w:ind w:left="284" w:hanging="284"/>
        <w:rPr>
          <w:rFonts w:ascii="Palatino Linotype" w:hAnsi="Palatino Linotype"/>
          <w:b/>
          <w:sz w:val="24"/>
          <w:szCs w:val="24"/>
        </w:rPr>
      </w:pPr>
      <w:r w:rsidRPr="005D0B30">
        <w:rPr>
          <w:rFonts w:ascii="Palatino Linotype" w:hAnsi="Palatino Linotype"/>
          <w:b/>
          <w:sz w:val="24"/>
          <w:szCs w:val="24"/>
        </w:rPr>
        <w:t>Memaknai Mahkamah Agung dan Mahkamah Konstitusi Indonesia dalam Pemecahan Kekuasaan Negara</w:t>
      </w: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lang w:val="id-ID"/>
        </w:rPr>
        <w:t>Pe</w:t>
      </w:r>
      <w:r w:rsidRPr="005D0B30">
        <w:rPr>
          <w:rFonts w:ascii="Palatino Linotype" w:hAnsi="Palatino Linotype"/>
          <w:sz w:val="24"/>
          <w:szCs w:val="24"/>
        </w:rPr>
        <w:t>mecahan persoalan hukum kenegaraan bisanya bertumpu pada</w:t>
      </w:r>
      <w:r w:rsidRPr="005D0B30">
        <w:rPr>
          <w:rFonts w:ascii="Palatino Linotype" w:hAnsi="Palatino Linotype"/>
          <w:sz w:val="24"/>
          <w:szCs w:val="24"/>
          <w:lang w:val="id-ID"/>
        </w:rPr>
        <w:t xml:space="preserve"> </w:t>
      </w:r>
      <w:r w:rsidRPr="005D0B30">
        <w:rPr>
          <w:rFonts w:ascii="Palatino Linotype" w:hAnsi="Palatino Linotype"/>
          <w:i/>
          <w:sz w:val="24"/>
          <w:szCs w:val="24"/>
          <w:lang w:val="id-ID"/>
        </w:rPr>
        <w:t>triadic dispute resolution</w:t>
      </w:r>
      <w:r w:rsidRPr="005D0B30">
        <w:rPr>
          <w:rFonts w:ascii="Palatino Linotype" w:hAnsi="Palatino Linotype"/>
          <w:sz w:val="24"/>
          <w:szCs w:val="24"/>
          <w:lang w:val="id-ID"/>
        </w:rPr>
        <w:t xml:space="preserve"> timbul akibat keharusan penyelenggaraan kekuasaan negara baik yang berada dalam tataran supra maupun infra struktur politik sedapat mungkin bersumber dan merujuk pada ketentuan-ketentuan hukum. Fungsi hukum yang paling besar yakni mencegah bahwa konflik politik kepentingan dipecahkan dalam konflik terbuka, artinya semata-mata atas dasar kekuatan dan kelemahan-kelemahan pihak yang terlibat. Hukum menjalankan fungsi tersebut dengan cara pemecahan konflik kepentingan yang berdasarkan pada suatu garis kebijaksanaan atau norma yang rasional dan berlaku umum.</w:t>
      </w:r>
      <w:r w:rsidRPr="005D0B30">
        <w:rPr>
          <w:rStyle w:val="FootnoteReference"/>
          <w:rFonts w:ascii="Palatino Linotype" w:hAnsi="Palatino Linotype"/>
          <w:sz w:val="24"/>
          <w:szCs w:val="24"/>
          <w:lang w:val="id-ID"/>
        </w:rPr>
        <w:footnoteReference w:id="27"/>
      </w:r>
      <w:r w:rsidRPr="005D0B30">
        <w:rPr>
          <w:rFonts w:ascii="Palatino Linotype" w:hAnsi="Palatino Linotype"/>
          <w:sz w:val="24"/>
          <w:szCs w:val="24"/>
          <w:lang w:val="id-ID"/>
        </w:rPr>
        <w:t xml:space="preserve"> </w:t>
      </w: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lang w:val="id-ID"/>
        </w:rPr>
        <w:t xml:space="preserve">Maka diperlukan suatu yudikatif khusus yang dapat menguji suatu aturan hukum dan memecahkan konflik kepentingan agar tidak bertentangan dengan </w:t>
      </w:r>
      <w:r w:rsidRPr="005D0B30">
        <w:rPr>
          <w:rFonts w:ascii="Palatino Linotype" w:hAnsi="Palatino Linotype"/>
          <w:i/>
          <w:sz w:val="24"/>
          <w:szCs w:val="24"/>
          <w:lang w:val="id-ID"/>
        </w:rPr>
        <w:lastRenderedPageBreak/>
        <w:t>statfundamental norm</w:t>
      </w:r>
      <w:r w:rsidRPr="005D0B30">
        <w:rPr>
          <w:rFonts w:ascii="Palatino Linotype" w:hAnsi="Palatino Linotype"/>
          <w:sz w:val="24"/>
          <w:szCs w:val="24"/>
          <w:lang w:val="id-ID"/>
        </w:rPr>
        <w:t xml:space="preserve"> atau konstitusi. </w:t>
      </w:r>
      <w:r w:rsidRPr="005D0B30">
        <w:rPr>
          <w:rFonts w:ascii="Palatino Linotype" w:hAnsi="Palatino Linotype"/>
          <w:i/>
          <w:sz w:val="24"/>
          <w:szCs w:val="24"/>
          <w:lang w:val="id-ID"/>
        </w:rPr>
        <w:t>Triadic dispute resolution</w:t>
      </w:r>
      <w:r w:rsidRPr="005D0B30">
        <w:rPr>
          <w:rFonts w:ascii="Palatino Linotype" w:hAnsi="Palatino Linotype"/>
          <w:sz w:val="24"/>
          <w:szCs w:val="24"/>
          <w:lang w:val="id-ID"/>
        </w:rPr>
        <w:t xml:space="preserve"> pada dasarnya merupakan penyelesaian sengketa di luar pengadilan, namun melihat perkembangan yang ada maka dalam pertimbangan hukum sangat diperlukan oleh yudikatif yang menguji aturan hukum. </w:t>
      </w:r>
      <w:r w:rsidRPr="005D0B30">
        <w:rPr>
          <w:rFonts w:ascii="Palatino Linotype" w:hAnsi="Palatino Linotype"/>
          <w:i/>
          <w:sz w:val="24"/>
          <w:szCs w:val="24"/>
          <w:lang w:val="id-ID"/>
        </w:rPr>
        <w:t>Triadic dispute resolution</w:t>
      </w:r>
      <w:r w:rsidRPr="005D0B30">
        <w:rPr>
          <w:rFonts w:ascii="Palatino Linotype" w:hAnsi="Palatino Linotype"/>
          <w:sz w:val="24"/>
          <w:szCs w:val="24"/>
          <w:lang w:val="id-ID"/>
        </w:rPr>
        <w:t xml:space="preserve"> berkembang pesat di tataran hukum Eropa Kontinental. </w:t>
      </w: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lang w:val="id-ID"/>
        </w:rPr>
        <w:t xml:space="preserve">Di tengah kenyataan ini, Alec Stone mengajukan suatu teori yang dinamakan </w:t>
      </w:r>
      <w:r w:rsidRPr="005D0B30">
        <w:rPr>
          <w:rFonts w:ascii="Palatino Linotype" w:hAnsi="Palatino Linotype"/>
          <w:i/>
          <w:sz w:val="24"/>
          <w:szCs w:val="24"/>
          <w:lang w:val="id-ID"/>
        </w:rPr>
        <w:t>interdeterminante norm and judicial diskreation</w:t>
      </w:r>
      <w:r w:rsidRPr="005D0B30">
        <w:rPr>
          <w:rFonts w:ascii="Palatino Linotype" w:hAnsi="Palatino Linotype"/>
          <w:sz w:val="24"/>
          <w:szCs w:val="24"/>
          <w:lang w:val="id-ID"/>
        </w:rPr>
        <w:t xml:space="preserve"> (ketidakmenentuan norma hukum dan diskresi badan peradilan). Teori tersebut mengilustrasikan fungsi yudikatif sesungguhnya dapat mereduksi sifat ketidakmampuan yang bermukim di balik norma hukum. Guna mencari jalan ke luar dari sifat ketidakmenentuan hukum, maka hakim akan menggunakan metode pemecahan sengketa hukum sebagai berikut:</w:t>
      </w:r>
    </w:p>
    <w:p w:rsidR="005D0B30" w:rsidRPr="005D0B30" w:rsidRDefault="005D0B30" w:rsidP="005D0B30">
      <w:pPr>
        <w:pStyle w:val="ListParagraph"/>
        <w:numPr>
          <w:ilvl w:val="0"/>
          <w:numId w:val="6"/>
        </w:numPr>
        <w:tabs>
          <w:tab w:val="clear" w:pos="720"/>
        </w:tabs>
        <w:spacing w:after="0" w:line="240" w:lineRule="auto"/>
        <w:ind w:left="284" w:hanging="284"/>
        <w:jc w:val="both"/>
        <w:rPr>
          <w:rFonts w:ascii="Palatino Linotype" w:hAnsi="Palatino Linotype"/>
          <w:lang w:val="id-ID"/>
        </w:rPr>
      </w:pPr>
      <w:r w:rsidRPr="005D0B30">
        <w:rPr>
          <w:rFonts w:ascii="Palatino Linotype" w:hAnsi="Palatino Linotype"/>
          <w:lang w:val="id-ID"/>
        </w:rPr>
        <w:t>Argumentasi hakim;</w:t>
      </w:r>
    </w:p>
    <w:p w:rsidR="005D0B30" w:rsidRPr="005D0B30" w:rsidRDefault="005D0B30" w:rsidP="005D0B30">
      <w:pPr>
        <w:pStyle w:val="ListParagraph"/>
        <w:numPr>
          <w:ilvl w:val="0"/>
          <w:numId w:val="6"/>
        </w:numPr>
        <w:tabs>
          <w:tab w:val="clear" w:pos="720"/>
        </w:tabs>
        <w:spacing w:after="0" w:line="240" w:lineRule="auto"/>
        <w:ind w:left="284" w:hanging="284"/>
        <w:jc w:val="both"/>
        <w:rPr>
          <w:rFonts w:ascii="Palatino Linotype" w:hAnsi="Palatino Linotype"/>
          <w:lang w:val="id-ID"/>
        </w:rPr>
      </w:pPr>
      <w:r w:rsidRPr="005D0B30">
        <w:rPr>
          <w:rFonts w:ascii="Palatino Linotype" w:hAnsi="Palatino Linotype"/>
          <w:lang w:val="id-ID"/>
        </w:rPr>
        <w:t>Metode penafsiran hukum dalam penerapan hukum;</w:t>
      </w:r>
    </w:p>
    <w:p w:rsidR="005D0B30" w:rsidRPr="005D0B30" w:rsidRDefault="005D0B30" w:rsidP="005D0B30">
      <w:pPr>
        <w:pStyle w:val="ListParagraph"/>
        <w:numPr>
          <w:ilvl w:val="0"/>
          <w:numId w:val="6"/>
        </w:numPr>
        <w:tabs>
          <w:tab w:val="clear" w:pos="720"/>
        </w:tabs>
        <w:spacing w:after="0" w:line="240" w:lineRule="auto"/>
        <w:ind w:left="284" w:hanging="284"/>
        <w:jc w:val="both"/>
        <w:rPr>
          <w:rFonts w:ascii="Palatino Linotype" w:hAnsi="Palatino Linotype"/>
          <w:lang w:val="id-ID"/>
        </w:rPr>
      </w:pPr>
      <w:r w:rsidRPr="005D0B30">
        <w:rPr>
          <w:rFonts w:ascii="Palatino Linotype" w:hAnsi="Palatino Linotype"/>
          <w:lang w:val="id-ID"/>
        </w:rPr>
        <w:t>Memperbanyak kerangka argumentasi hukum.</w:t>
      </w:r>
    </w:p>
    <w:p w:rsidR="005D0B30" w:rsidRPr="005D0B30" w:rsidRDefault="005D0B30" w:rsidP="005D0B30">
      <w:pPr>
        <w:spacing w:after="0" w:line="240" w:lineRule="auto"/>
        <w:jc w:val="both"/>
        <w:rPr>
          <w:rFonts w:ascii="Palatino Linotype" w:hAnsi="Palatino Linotype"/>
          <w:sz w:val="24"/>
          <w:szCs w:val="24"/>
        </w:rPr>
      </w:pP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lang w:val="id-ID"/>
        </w:rPr>
        <w:t>Secara historis resolusi konflik oleh pihak ketiga (</w:t>
      </w:r>
      <w:r w:rsidRPr="005D0B30">
        <w:rPr>
          <w:rFonts w:ascii="Palatino Linotype" w:hAnsi="Palatino Linotype"/>
          <w:i/>
          <w:sz w:val="24"/>
          <w:szCs w:val="24"/>
          <w:lang w:val="id-ID"/>
        </w:rPr>
        <w:t>triadic dispute resolution</w:t>
      </w:r>
      <w:r w:rsidRPr="005D0B30">
        <w:rPr>
          <w:rFonts w:ascii="Palatino Linotype" w:hAnsi="Palatino Linotype"/>
          <w:sz w:val="24"/>
          <w:szCs w:val="24"/>
          <w:lang w:val="id-ID"/>
        </w:rPr>
        <w:t>) dapat ditemukan diseluruh tradisi hukum yang ada dari dahulu hingga sekarang. Hakikat dari hak tersebut mewajibkan setiap individu untuk mencapai keserasian, baik secara individu maupun dengan alam sekitarnya.  Disharmonisasi hukum akan berakibat pada ketidakharmonisan terhadap politik hukum. Selanjutnya dapat menjalar ke lembaga legislatif, yudikatif, dan eksekutif.</w:t>
      </w:r>
      <w:r w:rsidRPr="005D0B30">
        <w:rPr>
          <w:rStyle w:val="FootnoteReference"/>
          <w:rFonts w:ascii="Palatino Linotype" w:hAnsi="Palatino Linotype"/>
          <w:sz w:val="24"/>
          <w:szCs w:val="24"/>
          <w:lang w:val="id-ID"/>
        </w:rPr>
        <w:footnoteReference w:id="28"/>
      </w:r>
      <w:r w:rsidRPr="005D0B30">
        <w:rPr>
          <w:rFonts w:ascii="Palatino Linotype" w:hAnsi="Palatino Linotype"/>
          <w:sz w:val="24"/>
          <w:szCs w:val="24"/>
          <w:lang w:val="id-ID"/>
        </w:rPr>
        <w:t xml:space="preserve"> Ketika konflik muncul, maka paksaan moral dan kewajiban pragmatis dari pihak yang bersengketa dan keberadaan pihak ketiga tidak harus memberikan justifikasi siapa yang benar dan salah. Dengan demikian, eksistensi pihak ketiga (peradilan/yudikatif) adalah merestorasi keserasian di antara dua belah pihak yang sedang menghadapi persengketaan.</w:t>
      </w:r>
      <w:r w:rsidRPr="005D0B30">
        <w:rPr>
          <w:rStyle w:val="FootnoteReference"/>
          <w:rFonts w:ascii="Palatino Linotype" w:hAnsi="Palatino Linotype"/>
          <w:sz w:val="24"/>
          <w:szCs w:val="24"/>
          <w:lang w:val="id-ID"/>
        </w:rPr>
        <w:footnoteReference w:id="29"/>
      </w:r>
      <w:r w:rsidRPr="005D0B30">
        <w:rPr>
          <w:rFonts w:ascii="Palatino Linotype" w:hAnsi="Palatino Linotype"/>
          <w:sz w:val="24"/>
          <w:szCs w:val="24"/>
          <w:lang w:val="id-ID"/>
        </w:rPr>
        <w:t xml:space="preserve"> </w:t>
      </w: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lang w:val="id-ID"/>
        </w:rPr>
        <w:t xml:space="preserve">Istilah konstitusi berasal dari Bahasa Perancis </w:t>
      </w:r>
      <w:r w:rsidRPr="005D0B30">
        <w:rPr>
          <w:rFonts w:ascii="Palatino Linotype" w:hAnsi="Palatino Linotype"/>
          <w:i/>
          <w:iCs/>
          <w:sz w:val="24"/>
          <w:szCs w:val="24"/>
          <w:lang w:val="id-ID"/>
        </w:rPr>
        <w:t>(constituer)</w:t>
      </w:r>
      <w:r w:rsidRPr="005D0B30">
        <w:rPr>
          <w:rFonts w:ascii="Palatino Linotype" w:hAnsi="Palatino Linotype"/>
          <w:sz w:val="24"/>
          <w:szCs w:val="24"/>
          <w:lang w:val="id-ID"/>
        </w:rPr>
        <w:t xml:space="preserve"> yang berarti membentuk. Pemakaian istilah konstitusi dimaksudkan sebagai pembentukan suatu negara atau menyusun dan menyatakan suatu negara. Sedangkan istilah undang-undang dasar merupakan terjemahan istilah dari Bahasa Belanda (</w:t>
      </w:r>
      <w:r w:rsidRPr="005D0B30">
        <w:rPr>
          <w:rFonts w:ascii="Palatino Linotype" w:hAnsi="Palatino Linotype"/>
          <w:i/>
          <w:iCs/>
          <w:sz w:val="24"/>
          <w:szCs w:val="24"/>
          <w:lang w:val="id-ID"/>
        </w:rPr>
        <w:t>Grondwet</w:t>
      </w:r>
      <w:r w:rsidRPr="005D0B30">
        <w:rPr>
          <w:rFonts w:ascii="Palatino Linotype" w:hAnsi="Palatino Linotype"/>
          <w:sz w:val="24"/>
          <w:szCs w:val="24"/>
          <w:lang w:val="id-ID"/>
        </w:rPr>
        <w:t xml:space="preserve">). Perkataan </w:t>
      </w:r>
      <w:r w:rsidRPr="005D0B30">
        <w:rPr>
          <w:rFonts w:ascii="Palatino Linotype" w:hAnsi="Palatino Linotype"/>
          <w:i/>
          <w:iCs/>
          <w:sz w:val="24"/>
          <w:szCs w:val="24"/>
          <w:lang w:val="id-ID"/>
        </w:rPr>
        <w:t>wet</w:t>
      </w:r>
      <w:r w:rsidRPr="005D0B30">
        <w:rPr>
          <w:rFonts w:ascii="Palatino Linotype" w:hAnsi="Palatino Linotype"/>
          <w:sz w:val="24"/>
          <w:szCs w:val="24"/>
          <w:lang w:val="id-ID"/>
        </w:rPr>
        <w:t xml:space="preserve"> diterjemahkan ke dalam Bahasa Indonesia menjadi undang-undang, sedangkan </w:t>
      </w:r>
      <w:r w:rsidRPr="005D0B30">
        <w:rPr>
          <w:rFonts w:ascii="Palatino Linotype" w:hAnsi="Palatino Linotype"/>
          <w:i/>
          <w:iCs/>
          <w:sz w:val="24"/>
          <w:szCs w:val="24"/>
          <w:lang w:val="id-ID"/>
        </w:rPr>
        <w:t>grond</w:t>
      </w:r>
      <w:r w:rsidRPr="005D0B30">
        <w:rPr>
          <w:rFonts w:ascii="Palatino Linotype" w:hAnsi="Palatino Linotype"/>
          <w:sz w:val="24"/>
          <w:szCs w:val="24"/>
          <w:lang w:val="id-ID"/>
        </w:rPr>
        <w:t xml:space="preserve"> yang berarti tanah. Di negara-negara yang menggunakan istilah Bahasa Inggris, dipakai istilah </w:t>
      </w:r>
      <w:r w:rsidRPr="005D0B30">
        <w:rPr>
          <w:rFonts w:ascii="Palatino Linotype" w:hAnsi="Palatino Linotype"/>
          <w:i/>
          <w:iCs/>
          <w:sz w:val="24"/>
          <w:szCs w:val="24"/>
          <w:lang w:val="id-ID"/>
        </w:rPr>
        <w:t>constitution</w:t>
      </w:r>
      <w:r w:rsidRPr="005D0B30">
        <w:rPr>
          <w:rFonts w:ascii="Palatino Linotype" w:hAnsi="Palatino Linotype"/>
          <w:sz w:val="24"/>
          <w:szCs w:val="24"/>
          <w:lang w:val="id-ID"/>
        </w:rPr>
        <w:t xml:space="preserve"> yang dalam Bahasa Indonesia disebut konstitusi. Pengertian konstitusi dalam praktik lebih luas daripada pengertian undang-undang dasar. Bagi sarjana ilmu politik istilah </w:t>
      </w:r>
      <w:r w:rsidRPr="005D0B30">
        <w:rPr>
          <w:rFonts w:ascii="Palatino Linotype" w:hAnsi="Palatino Linotype"/>
          <w:i/>
          <w:iCs/>
          <w:sz w:val="24"/>
          <w:szCs w:val="24"/>
          <w:lang w:val="id-ID"/>
        </w:rPr>
        <w:t>constitution</w:t>
      </w:r>
      <w:r w:rsidRPr="005D0B30">
        <w:rPr>
          <w:rFonts w:ascii="Palatino Linotype" w:hAnsi="Palatino Linotype"/>
          <w:sz w:val="24"/>
          <w:szCs w:val="24"/>
          <w:lang w:val="id-ID"/>
        </w:rPr>
        <w:t xml:space="preserve"> lebih luas, yaitu keseluruhan dari peraturan baik yang tertulis maupun yang tidak tertulis mengatur </w:t>
      </w:r>
      <w:r w:rsidRPr="005D0B30">
        <w:rPr>
          <w:rFonts w:ascii="Palatino Linotype" w:hAnsi="Palatino Linotype"/>
          <w:sz w:val="24"/>
          <w:szCs w:val="24"/>
          <w:lang w:val="id-ID"/>
        </w:rPr>
        <w:lastRenderedPageBreak/>
        <w:t>serta mengikat bagaimana cara suatu pemerintahan diselenggarakan dalam suatu masyarakat.</w:t>
      </w:r>
      <w:r w:rsidRPr="005D0B30">
        <w:rPr>
          <w:rStyle w:val="FootnoteReference"/>
          <w:rFonts w:ascii="Palatino Linotype" w:hAnsi="Palatino Linotype"/>
          <w:sz w:val="24"/>
          <w:szCs w:val="24"/>
          <w:lang w:val="id-ID"/>
        </w:rPr>
        <w:t xml:space="preserve"> </w:t>
      </w:r>
      <w:r w:rsidRPr="005D0B30">
        <w:rPr>
          <w:rStyle w:val="FootnoteReference"/>
          <w:rFonts w:ascii="Palatino Linotype" w:hAnsi="Palatino Linotype"/>
          <w:sz w:val="24"/>
          <w:szCs w:val="24"/>
          <w:lang w:val="id-ID"/>
        </w:rPr>
        <w:footnoteReference w:id="30"/>
      </w: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lang w:val="id-ID"/>
        </w:rPr>
        <w:t xml:space="preserve">Istilah konstitusi dalam Bahasa Latin merupakan gabungan dari dua kata, yaitu </w:t>
      </w:r>
      <w:r w:rsidRPr="005D0B30">
        <w:rPr>
          <w:rFonts w:ascii="Palatino Linotype" w:hAnsi="Palatino Linotype"/>
          <w:i/>
          <w:iCs/>
          <w:sz w:val="24"/>
          <w:szCs w:val="24"/>
          <w:lang w:val="id-ID"/>
        </w:rPr>
        <w:t>cume</w:t>
      </w:r>
      <w:r w:rsidRPr="005D0B30">
        <w:rPr>
          <w:rFonts w:ascii="Palatino Linotype" w:hAnsi="Palatino Linotype"/>
          <w:sz w:val="24"/>
          <w:szCs w:val="24"/>
          <w:lang w:val="id-ID"/>
        </w:rPr>
        <w:t xml:space="preserve"> dan </w:t>
      </w:r>
      <w:r w:rsidRPr="005D0B30">
        <w:rPr>
          <w:rFonts w:ascii="Palatino Linotype" w:hAnsi="Palatino Linotype"/>
          <w:i/>
          <w:iCs/>
          <w:sz w:val="24"/>
          <w:szCs w:val="24"/>
          <w:lang w:val="id-ID"/>
        </w:rPr>
        <w:t>statuere</w:t>
      </w:r>
      <w:r w:rsidRPr="005D0B30">
        <w:rPr>
          <w:rFonts w:ascii="Palatino Linotype" w:hAnsi="Palatino Linotype"/>
          <w:sz w:val="24"/>
          <w:szCs w:val="24"/>
          <w:lang w:val="id-ID"/>
        </w:rPr>
        <w:t xml:space="preserve">. </w:t>
      </w:r>
      <w:r w:rsidRPr="005D0B30">
        <w:rPr>
          <w:rFonts w:ascii="Palatino Linotype" w:hAnsi="Palatino Linotype"/>
          <w:i/>
          <w:iCs/>
          <w:sz w:val="24"/>
          <w:szCs w:val="24"/>
          <w:lang w:val="id-ID"/>
        </w:rPr>
        <w:t>Cume</w:t>
      </w:r>
      <w:r w:rsidRPr="005D0B30">
        <w:rPr>
          <w:rFonts w:ascii="Palatino Linotype" w:hAnsi="Palatino Linotype"/>
          <w:sz w:val="24"/>
          <w:szCs w:val="24"/>
          <w:lang w:val="id-ID"/>
        </w:rPr>
        <w:t xml:space="preserve"> adalah sebuah preposisi yang berarti “bersama dengan...” sedangkan kata </w:t>
      </w:r>
      <w:r w:rsidRPr="005D0B30">
        <w:rPr>
          <w:rFonts w:ascii="Palatino Linotype" w:hAnsi="Palatino Linotype"/>
          <w:i/>
          <w:iCs/>
          <w:sz w:val="24"/>
          <w:szCs w:val="24"/>
          <w:lang w:val="id-ID"/>
        </w:rPr>
        <w:t>statuere</w:t>
      </w:r>
      <w:r w:rsidRPr="005D0B30">
        <w:rPr>
          <w:rFonts w:ascii="Palatino Linotype" w:hAnsi="Palatino Linotype"/>
          <w:sz w:val="24"/>
          <w:szCs w:val="24"/>
          <w:lang w:val="id-ID"/>
        </w:rPr>
        <w:t xml:space="preserve"> berasal dari kata </w:t>
      </w:r>
      <w:r w:rsidRPr="005D0B30">
        <w:rPr>
          <w:rFonts w:ascii="Palatino Linotype" w:hAnsi="Palatino Linotype"/>
          <w:i/>
          <w:iCs/>
          <w:sz w:val="24"/>
          <w:szCs w:val="24"/>
          <w:lang w:val="id-ID"/>
        </w:rPr>
        <w:t>sta</w:t>
      </w:r>
      <w:r w:rsidRPr="005D0B30">
        <w:rPr>
          <w:rFonts w:ascii="Palatino Linotype" w:hAnsi="Palatino Linotype"/>
          <w:sz w:val="24"/>
          <w:szCs w:val="24"/>
          <w:lang w:val="id-ID"/>
        </w:rPr>
        <w:t xml:space="preserve"> yang membentuk kata kerja stare yang berarti berdiri.</w:t>
      </w:r>
      <w:r w:rsidRPr="005D0B30">
        <w:rPr>
          <w:rStyle w:val="FootnoteReference"/>
          <w:rFonts w:ascii="Palatino Linotype" w:hAnsi="Palatino Linotype"/>
          <w:sz w:val="24"/>
          <w:szCs w:val="24"/>
          <w:lang w:val="id-ID"/>
        </w:rPr>
        <w:footnoteReference w:id="31"/>
      </w:r>
      <w:r w:rsidRPr="005D0B30">
        <w:rPr>
          <w:rFonts w:ascii="Palatino Linotype" w:hAnsi="Palatino Linotype"/>
          <w:sz w:val="24"/>
          <w:szCs w:val="24"/>
          <w:lang w:val="id-ID"/>
        </w:rPr>
        <w:t xml:space="preserve"> Atas dasar itu, kata statuere mempunyai arti membuat sesuatu agar berdiri atau mendirikan/ menetapkan. </w:t>
      </w: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lang w:val="id-ID"/>
        </w:rPr>
        <w:t>Sementara secara etimologis antara kata konstitusi dan konstitusional serta konstitusionalisme inti maknanya adalah sama hanya dalam penerapan atau dalam penggunaannya berbeda.</w:t>
      </w:r>
      <w:r w:rsidRPr="005D0B30">
        <w:rPr>
          <w:rStyle w:val="FootnoteReference"/>
          <w:rFonts w:ascii="Palatino Linotype" w:hAnsi="Palatino Linotype"/>
          <w:sz w:val="24"/>
          <w:szCs w:val="24"/>
          <w:lang w:val="id-ID"/>
        </w:rPr>
        <w:footnoteReference w:id="32"/>
      </w:r>
      <w:r w:rsidRPr="005D0B30">
        <w:rPr>
          <w:rFonts w:ascii="Palatino Linotype" w:hAnsi="Palatino Linotype"/>
          <w:sz w:val="24"/>
          <w:szCs w:val="24"/>
          <w:lang w:val="id-ID"/>
        </w:rPr>
        <w:t xml:space="preserve"> Berdasarkan etimologi tersebut dapat dibedakan sebagai berikut:</w:t>
      </w:r>
    </w:p>
    <w:p w:rsidR="005D0B30" w:rsidRPr="005D0B30" w:rsidRDefault="005D0B30" w:rsidP="005D0B30">
      <w:pPr>
        <w:numPr>
          <w:ilvl w:val="0"/>
          <w:numId w:val="11"/>
        </w:numPr>
        <w:tabs>
          <w:tab w:val="clear" w:pos="1440"/>
        </w:tabs>
        <w:spacing w:after="0" w:line="240" w:lineRule="auto"/>
        <w:ind w:left="284" w:hanging="284"/>
        <w:jc w:val="both"/>
        <w:rPr>
          <w:rFonts w:ascii="Palatino Linotype" w:hAnsi="Palatino Linotype"/>
          <w:sz w:val="24"/>
          <w:szCs w:val="24"/>
          <w:lang w:val="id-ID"/>
        </w:rPr>
      </w:pPr>
      <w:r w:rsidRPr="005D0B30">
        <w:rPr>
          <w:rFonts w:ascii="Palatino Linotype" w:hAnsi="Palatino Linotype"/>
          <w:sz w:val="24"/>
          <w:szCs w:val="24"/>
          <w:lang w:val="id-ID"/>
        </w:rPr>
        <w:t>Konstitusi adalah segala ketentuan dan aturan mengenai ketatanegaraan (UUD, dan aturan yang lainnya) atau UUD suatu negara;</w:t>
      </w:r>
    </w:p>
    <w:p w:rsidR="005D0B30" w:rsidRPr="005D0B30" w:rsidRDefault="005D0B30" w:rsidP="005D0B30">
      <w:pPr>
        <w:numPr>
          <w:ilvl w:val="0"/>
          <w:numId w:val="11"/>
        </w:numPr>
        <w:tabs>
          <w:tab w:val="clear" w:pos="1440"/>
        </w:tabs>
        <w:spacing w:after="0" w:line="240" w:lineRule="auto"/>
        <w:ind w:left="284" w:hanging="284"/>
        <w:jc w:val="both"/>
        <w:rPr>
          <w:rFonts w:ascii="Palatino Linotype" w:hAnsi="Palatino Linotype"/>
          <w:sz w:val="24"/>
          <w:szCs w:val="24"/>
          <w:lang w:val="id-ID"/>
        </w:rPr>
      </w:pPr>
      <w:r w:rsidRPr="005D0B30">
        <w:rPr>
          <w:rFonts w:ascii="Palatino Linotype" w:hAnsi="Palatino Linotype"/>
          <w:sz w:val="24"/>
          <w:szCs w:val="24"/>
          <w:lang w:val="id-ID"/>
        </w:rPr>
        <w:t>Konstitusional adalah segala tindakan atau perilaku seseorang maupun penguasa berupa kebijakan yang didasarkan  pada konstitusi. Lawannya adalah penyimpangan konstitusi yang berarti tindakan tersebut tidak konstitusional (inkonstitusional);</w:t>
      </w:r>
    </w:p>
    <w:p w:rsidR="005D0B30" w:rsidRPr="005D0B30" w:rsidRDefault="005D0B30" w:rsidP="005D0B30">
      <w:pPr>
        <w:numPr>
          <w:ilvl w:val="0"/>
          <w:numId w:val="11"/>
        </w:numPr>
        <w:tabs>
          <w:tab w:val="clear" w:pos="1440"/>
        </w:tabs>
        <w:spacing w:after="0" w:line="240" w:lineRule="auto"/>
        <w:ind w:left="284" w:hanging="284"/>
        <w:jc w:val="both"/>
        <w:rPr>
          <w:rFonts w:ascii="Palatino Linotype" w:hAnsi="Palatino Linotype"/>
          <w:sz w:val="24"/>
          <w:szCs w:val="24"/>
          <w:lang w:val="id-ID"/>
        </w:rPr>
      </w:pPr>
      <w:r w:rsidRPr="005D0B30">
        <w:rPr>
          <w:rFonts w:ascii="Palatino Linotype" w:hAnsi="Palatino Linotype"/>
          <w:sz w:val="24"/>
          <w:szCs w:val="24"/>
          <w:lang w:val="id-ID"/>
        </w:rPr>
        <w:t>Konstitusionalisme adalah suatu paham mengenai pembatasan kekuasaan dan jaminan hak rakyat melalui konstitusi.</w:t>
      </w:r>
      <w:r w:rsidRPr="005D0B30">
        <w:rPr>
          <w:rStyle w:val="FootnoteReference"/>
          <w:rFonts w:ascii="Palatino Linotype" w:hAnsi="Palatino Linotype"/>
          <w:sz w:val="24"/>
          <w:szCs w:val="24"/>
          <w:lang w:val="id-ID"/>
        </w:rPr>
        <w:footnoteReference w:id="33"/>
      </w:r>
    </w:p>
    <w:p w:rsidR="005D0B30" w:rsidRPr="005D0B30" w:rsidRDefault="005D0B30" w:rsidP="005D0B30">
      <w:pPr>
        <w:spacing w:after="0" w:line="240" w:lineRule="auto"/>
        <w:jc w:val="both"/>
        <w:rPr>
          <w:rFonts w:ascii="Palatino Linotype" w:hAnsi="Palatino Linotype"/>
          <w:sz w:val="24"/>
          <w:szCs w:val="24"/>
        </w:rPr>
      </w:pPr>
    </w:p>
    <w:p w:rsidR="005D0B30" w:rsidRPr="005D0B30" w:rsidRDefault="005D0B30" w:rsidP="005D0B30">
      <w:pPr>
        <w:spacing w:after="0" w:line="240" w:lineRule="auto"/>
        <w:ind w:firstLine="567"/>
        <w:jc w:val="both"/>
        <w:rPr>
          <w:rFonts w:ascii="Palatino Linotype" w:hAnsi="Palatino Linotype"/>
          <w:sz w:val="24"/>
          <w:szCs w:val="24"/>
          <w:lang w:val="id-ID"/>
        </w:rPr>
      </w:pPr>
      <w:r w:rsidRPr="005D0B30">
        <w:rPr>
          <w:rFonts w:ascii="Palatino Linotype" w:hAnsi="Palatino Linotype"/>
          <w:sz w:val="24"/>
          <w:szCs w:val="24"/>
          <w:lang w:val="id-ID"/>
        </w:rPr>
        <w:t>Dalam berbagai literatur terdapat empat prinsip konstitusionalisme yaitu:</w:t>
      </w:r>
    </w:p>
    <w:p w:rsidR="005D0B30" w:rsidRPr="005D0B30" w:rsidRDefault="005D0B30" w:rsidP="005D0B30">
      <w:pPr>
        <w:numPr>
          <w:ilvl w:val="0"/>
          <w:numId w:val="12"/>
        </w:numPr>
        <w:tabs>
          <w:tab w:val="clear" w:pos="720"/>
        </w:tabs>
        <w:spacing w:after="0" w:line="240" w:lineRule="auto"/>
        <w:ind w:left="284" w:hanging="284"/>
        <w:jc w:val="both"/>
        <w:rPr>
          <w:rFonts w:ascii="Palatino Linotype" w:hAnsi="Palatino Linotype"/>
          <w:sz w:val="24"/>
          <w:szCs w:val="24"/>
          <w:lang w:val="id-ID"/>
        </w:rPr>
      </w:pPr>
      <w:r w:rsidRPr="005D0B30">
        <w:rPr>
          <w:rFonts w:ascii="Palatino Linotype" w:hAnsi="Palatino Linotype"/>
          <w:sz w:val="24"/>
          <w:szCs w:val="24"/>
          <w:lang w:val="id-ID"/>
        </w:rPr>
        <w:t>Anatomi kekuasaan (kekuasaan politik) tunduk pada hukum;</w:t>
      </w:r>
    </w:p>
    <w:p w:rsidR="005D0B30" w:rsidRPr="005D0B30" w:rsidRDefault="005D0B30" w:rsidP="005D0B30">
      <w:pPr>
        <w:numPr>
          <w:ilvl w:val="0"/>
          <w:numId w:val="12"/>
        </w:numPr>
        <w:tabs>
          <w:tab w:val="clear" w:pos="720"/>
        </w:tabs>
        <w:spacing w:after="0" w:line="240" w:lineRule="auto"/>
        <w:ind w:left="284" w:hanging="284"/>
        <w:jc w:val="both"/>
        <w:rPr>
          <w:rFonts w:ascii="Palatino Linotype" w:hAnsi="Palatino Linotype"/>
          <w:sz w:val="24"/>
          <w:szCs w:val="24"/>
          <w:lang w:val="id-ID"/>
        </w:rPr>
      </w:pPr>
      <w:r w:rsidRPr="005D0B30">
        <w:rPr>
          <w:rFonts w:ascii="Palatino Linotype" w:hAnsi="Palatino Linotype"/>
          <w:sz w:val="24"/>
          <w:szCs w:val="24"/>
          <w:lang w:val="id-ID"/>
        </w:rPr>
        <w:t>Jaminan dan perlindungan hak-hak asasi manusia;</w:t>
      </w:r>
    </w:p>
    <w:p w:rsidR="005D0B30" w:rsidRPr="005D0B30" w:rsidRDefault="005D0B30" w:rsidP="005D0B30">
      <w:pPr>
        <w:numPr>
          <w:ilvl w:val="0"/>
          <w:numId w:val="12"/>
        </w:numPr>
        <w:tabs>
          <w:tab w:val="clear" w:pos="720"/>
        </w:tabs>
        <w:spacing w:after="0" w:line="240" w:lineRule="auto"/>
        <w:ind w:left="284" w:hanging="284"/>
        <w:jc w:val="both"/>
        <w:rPr>
          <w:rFonts w:ascii="Palatino Linotype" w:hAnsi="Palatino Linotype"/>
          <w:sz w:val="24"/>
          <w:szCs w:val="24"/>
          <w:lang w:val="id-ID"/>
        </w:rPr>
      </w:pPr>
      <w:r w:rsidRPr="005D0B30">
        <w:rPr>
          <w:rFonts w:ascii="Palatino Linotype" w:hAnsi="Palatino Linotype"/>
          <w:sz w:val="24"/>
          <w:szCs w:val="24"/>
          <w:lang w:val="id-ID"/>
        </w:rPr>
        <w:t>Peradilan yang bebas dan mandiri;</w:t>
      </w:r>
    </w:p>
    <w:p w:rsidR="005D0B30" w:rsidRPr="005D0B30" w:rsidRDefault="005D0B30" w:rsidP="005D0B30">
      <w:pPr>
        <w:numPr>
          <w:ilvl w:val="0"/>
          <w:numId w:val="12"/>
        </w:numPr>
        <w:tabs>
          <w:tab w:val="clear" w:pos="720"/>
        </w:tabs>
        <w:spacing w:after="0" w:line="240" w:lineRule="auto"/>
        <w:ind w:left="284" w:hanging="284"/>
        <w:jc w:val="both"/>
        <w:rPr>
          <w:rFonts w:ascii="Palatino Linotype" w:hAnsi="Palatino Linotype"/>
          <w:sz w:val="24"/>
          <w:szCs w:val="24"/>
          <w:lang w:val="id-ID"/>
        </w:rPr>
      </w:pPr>
      <w:r w:rsidRPr="005D0B30">
        <w:rPr>
          <w:rFonts w:ascii="Palatino Linotype" w:hAnsi="Palatino Linotype"/>
          <w:sz w:val="24"/>
          <w:szCs w:val="24"/>
          <w:lang w:val="id-ID"/>
        </w:rPr>
        <w:t>Pertanggungjawaban kepada rakyat (akuntabilitas publik) sebagai sendi utama dari asas kedaulatan rakyat.</w:t>
      </w:r>
    </w:p>
    <w:p w:rsidR="005D0B30" w:rsidRPr="005D0B30" w:rsidRDefault="005D0B30" w:rsidP="005D0B30">
      <w:pPr>
        <w:spacing w:after="0" w:line="240" w:lineRule="auto"/>
        <w:jc w:val="both"/>
        <w:rPr>
          <w:rFonts w:ascii="Palatino Linotype" w:hAnsi="Palatino Linotype"/>
          <w:sz w:val="24"/>
          <w:szCs w:val="24"/>
        </w:rPr>
      </w:pP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lang w:val="id-ID"/>
        </w:rPr>
        <w:t xml:space="preserve">Empat ajaran diatas merupakan keharusan yang terdapat pada suatu pemerintahan yang konstitusional. Akan tetapi walaupun pemerintahan (negara) dalam konstitusinya sudah mengatur prinsip-prinsip diatas, namun secara implementatif tidak dapat dioperasionalkan dengan baik dalam praktik penyelenggaraan negaranya, maka belum dapat dikatakan sebagai negara yang konstitusional atau disebut menganut paham konstitusi. </w:t>
      </w: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lang w:val="id-ID"/>
        </w:rPr>
        <w:t xml:space="preserve">Konstitusi juga dapat dikatakan sebagai alat untuk membentuk sistem hukum dan sisten politik, itulah sebabanya apa yang diungkapkan oleh Struycken UUD </w:t>
      </w:r>
      <w:r w:rsidRPr="005D0B30">
        <w:rPr>
          <w:rFonts w:ascii="Palatino Linotype" w:hAnsi="Palatino Linotype"/>
          <w:sz w:val="24"/>
          <w:szCs w:val="24"/>
          <w:lang w:val="id-ID"/>
        </w:rPr>
        <w:lastRenderedPageBreak/>
        <w:t>(</w:t>
      </w:r>
      <w:r w:rsidRPr="005D0B30">
        <w:rPr>
          <w:rFonts w:ascii="Palatino Linotype" w:hAnsi="Palatino Linotype"/>
          <w:i/>
          <w:iCs/>
          <w:sz w:val="24"/>
          <w:szCs w:val="24"/>
          <w:lang w:val="id-ID"/>
        </w:rPr>
        <w:t>Grondwet</w:t>
      </w:r>
      <w:r w:rsidRPr="005D0B30">
        <w:rPr>
          <w:rFonts w:ascii="Palatino Linotype" w:hAnsi="Palatino Linotype"/>
          <w:sz w:val="24"/>
          <w:szCs w:val="24"/>
          <w:lang w:val="id-ID"/>
        </w:rPr>
        <w:t>) sebagai konstitusi yang tertulis dan merupakan sebuah dokumen formal  yang berisi:</w:t>
      </w:r>
    </w:p>
    <w:p w:rsidR="005D0B30" w:rsidRPr="005D0B30" w:rsidRDefault="005D0B30" w:rsidP="005D0B30">
      <w:pPr>
        <w:numPr>
          <w:ilvl w:val="0"/>
          <w:numId w:val="13"/>
        </w:numPr>
        <w:tabs>
          <w:tab w:val="clear" w:pos="720"/>
        </w:tabs>
        <w:spacing w:after="0" w:line="240" w:lineRule="auto"/>
        <w:ind w:left="284" w:hanging="284"/>
        <w:jc w:val="both"/>
        <w:rPr>
          <w:rFonts w:ascii="Palatino Linotype" w:hAnsi="Palatino Linotype"/>
          <w:sz w:val="24"/>
          <w:szCs w:val="24"/>
          <w:lang w:val="id-ID"/>
        </w:rPr>
      </w:pPr>
      <w:r w:rsidRPr="005D0B30">
        <w:rPr>
          <w:rFonts w:ascii="Palatino Linotype" w:hAnsi="Palatino Linotype"/>
          <w:sz w:val="24"/>
          <w:szCs w:val="24"/>
          <w:lang w:val="id-ID"/>
        </w:rPr>
        <w:t>Hasil perjuangan politik bangsa di waktu lampau;</w:t>
      </w:r>
    </w:p>
    <w:p w:rsidR="005D0B30" w:rsidRPr="005D0B30" w:rsidRDefault="005D0B30" w:rsidP="005D0B30">
      <w:pPr>
        <w:numPr>
          <w:ilvl w:val="0"/>
          <w:numId w:val="13"/>
        </w:numPr>
        <w:tabs>
          <w:tab w:val="clear" w:pos="720"/>
        </w:tabs>
        <w:spacing w:after="0" w:line="240" w:lineRule="auto"/>
        <w:ind w:left="284" w:hanging="284"/>
        <w:jc w:val="both"/>
        <w:rPr>
          <w:rFonts w:ascii="Palatino Linotype" w:hAnsi="Palatino Linotype"/>
          <w:sz w:val="24"/>
          <w:szCs w:val="24"/>
          <w:lang w:val="id-ID"/>
        </w:rPr>
      </w:pPr>
      <w:r w:rsidRPr="005D0B30">
        <w:rPr>
          <w:rFonts w:ascii="Palatino Linotype" w:hAnsi="Palatino Linotype"/>
          <w:sz w:val="24"/>
          <w:szCs w:val="24"/>
          <w:lang w:val="id-ID"/>
        </w:rPr>
        <w:t>Tingkat- tingkat tertinggi perkembangan ketatanegaraan bangsa;</w:t>
      </w:r>
    </w:p>
    <w:p w:rsidR="005D0B30" w:rsidRPr="005D0B30" w:rsidRDefault="005D0B30" w:rsidP="005D0B30">
      <w:pPr>
        <w:numPr>
          <w:ilvl w:val="0"/>
          <w:numId w:val="13"/>
        </w:numPr>
        <w:tabs>
          <w:tab w:val="clear" w:pos="720"/>
        </w:tabs>
        <w:spacing w:after="0" w:line="240" w:lineRule="auto"/>
        <w:ind w:left="284" w:hanging="284"/>
        <w:jc w:val="both"/>
        <w:rPr>
          <w:rFonts w:ascii="Palatino Linotype" w:hAnsi="Palatino Linotype"/>
          <w:sz w:val="24"/>
          <w:szCs w:val="24"/>
          <w:lang w:val="id-ID"/>
        </w:rPr>
      </w:pPr>
      <w:r w:rsidRPr="005D0B30">
        <w:rPr>
          <w:rFonts w:ascii="Palatino Linotype" w:hAnsi="Palatino Linotype"/>
          <w:sz w:val="24"/>
          <w:szCs w:val="24"/>
          <w:lang w:val="id-ID"/>
        </w:rPr>
        <w:t>Pandangan tokoh-tokoh bangsa yang hendak diwujudkan, baik waktu sekarang maupun masa yang akan datang;</w:t>
      </w:r>
    </w:p>
    <w:p w:rsidR="005D0B30" w:rsidRPr="005D0B30" w:rsidRDefault="005D0B30" w:rsidP="005D0B30">
      <w:pPr>
        <w:numPr>
          <w:ilvl w:val="0"/>
          <w:numId w:val="13"/>
        </w:numPr>
        <w:tabs>
          <w:tab w:val="clear" w:pos="720"/>
        </w:tabs>
        <w:spacing w:after="0" w:line="240" w:lineRule="auto"/>
        <w:ind w:left="284" w:hanging="284"/>
        <w:jc w:val="both"/>
        <w:rPr>
          <w:rFonts w:ascii="Palatino Linotype" w:hAnsi="Palatino Linotype"/>
          <w:sz w:val="24"/>
          <w:szCs w:val="24"/>
          <w:lang w:val="id-ID"/>
        </w:rPr>
      </w:pPr>
      <w:r w:rsidRPr="005D0B30">
        <w:rPr>
          <w:rFonts w:ascii="Palatino Linotype" w:hAnsi="Palatino Linotype"/>
          <w:sz w:val="24"/>
          <w:szCs w:val="24"/>
          <w:lang w:val="id-ID"/>
        </w:rPr>
        <w:t>Suatu keinginan dimana perkembangan kehidupan ketatanegaraan bangsa hendak dipimpin.</w:t>
      </w: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lang w:val="id-ID"/>
        </w:rPr>
        <w:t xml:space="preserve">Sejarah perkembangan yudikatif di Jerman, memperlihatkan doktrin kedaulatan negara yang dapat mempengaruhi indepedensi dan akuntabilitas kekuasaan yudikatif. Pikiran yang lebih kritis di Indonesia telah menunjukan perjalanan sejarah terkait dengan Mahkamah Agung (Balai Agung) yang semula akan dilengkapi dengan hak menguji hukum, pada hakikatnya telah membuat gusar ide-ide yang terkandung dalam kedaulatan negara. Tentu saja tidak dapat dilepaskan dari pandangan Soepomo sebagai salah satu arsitek UUD 1945. </w:t>
      </w: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lang w:val="id-ID"/>
        </w:rPr>
        <w:t>Soepomo menganalogikan ciri komunalistik masyarakat hukum Indonesia, dengan bentuk negara yang sedang dibicarakan. Dalam pandangan Soepomo tidak menginginkan pemisahan antara kosmologi mikro dan kosmologi makro. Sehingga persatuan antara pemimpin dan rakyat harus dicocokan dengan aliran ketimuran. Karenanya dalam periode UUD 1945 pertama doktrin supremasi hukum yang terkandung dalam ide konstitusionalisme urung diwujudkan.</w:t>
      </w:r>
      <w:r w:rsidRPr="005D0B30">
        <w:rPr>
          <w:rStyle w:val="FootnoteReference"/>
          <w:rFonts w:ascii="Palatino Linotype" w:hAnsi="Palatino Linotype"/>
          <w:sz w:val="24"/>
          <w:szCs w:val="24"/>
          <w:lang w:val="id-ID"/>
        </w:rPr>
        <w:footnoteReference w:id="34"/>
      </w:r>
      <w:r w:rsidRPr="005D0B30">
        <w:rPr>
          <w:rFonts w:ascii="Palatino Linotype" w:hAnsi="Palatino Linotype"/>
          <w:sz w:val="24"/>
          <w:szCs w:val="24"/>
          <w:lang w:val="id-ID"/>
        </w:rPr>
        <w:t xml:space="preserve"> Hal tersebut, lebih disebabkan adanya suatu ketakutan dari pengalaman sejarah kontitusi Weimar di Jerman yang gagal melaksanakan tugasnya dengan baik. Bahkan secara politik hukum sendiri konstitusi Jerman telah terkooptasi oleh doktrin sepremasi negara di bawah komando Hitler.</w:t>
      </w: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lang w:val="id-ID"/>
        </w:rPr>
        <w:t xml:space="preserve">Dalam persepektif sosiologi hukum, Satjipto Rahardjo menjelaskan sebenarnya keberatan Soepomo atas sisten </w:t>
      </w:r>
      <w:r w:rsidRPr="005D0B30">
        <w:rPr>
          <w:rFonts w:ascii="Palatino Linotype" w:hAnsi="Palatino Linotype"/>
          <w:i/>
          <w:sz w:val="24"/>
          <w:szCs w:val="24"/>
          <w:lang w:val="id-ID"/>
        </w:rPr>
        <w:t>yudicial review</w:t>
      </w:r>
      <w:r w:rsidRPr="005D0B30">
        <w:rPr>
          <w:rFonts w:ascii="Palatino Linotype" w:hAnsi="Palatino Linotype"/>
          <w:sz w:val="24"/>
          <w:szCs w:val="24"/>
          <w:lang w:val="id-ID"/>
        </w:rPr>
        <w:t xml:space="preserve"> tidak lebih dari persoalan metodologis semata dan memang persoalan itu sangat menonjol di Indonesia, dalam bahasa hukum mengenai metodologis dibaca sebagai kewenangan.</w:t>
      </w:r>
      <w:r w:rsidRPr="005D0B30">
        <w:rPr>
          <w:rStyle w:val="FootnoteReference"/>
          <w:rFonts w:ascii="Palatino Linotype" w:hAnsi="Palatino Linotype"/>
          <w:sz w:val="24"/>
          <w:szCs w:val="24"/>
          <w:lang w:val="id-ID"/>
        </w:rPr>
        <w:footnoteReference w:id="35"/>
      </w:r>
      <w:r w:rsidRPr="005D0B30">
        <w:rPr>
          <w:rFonts w:ascii="Palatino Linotype" w:hAnsi="Palatino Linotype"/>
          <w:sz w:val="24"/>
          <w:szCs w:val="24"/>
          <w:lang w:val="id-ID"/>
        </w:rPr>
        <w:t xml:space="preserve"> Orang beramai-ramai mempersoalkan tentang siapa yang melakukan tugas tersebut. Kendati Mahkamah Agung menghimpun sumber daya manusia yang mampu untuk melakukan tugas tersebut, tetapi lembaga tersebut dianggap tidak berwenang. Dalam bahasa hukum Hindia Belanda, disebut </w:t>
      </w:r>
      <w:r w:rsidRPr="005D0B30">
        <w:rPr>
          <w:rFonts w:ascii="Palatino Linotype" w:hAnsi="Palatino Linotype"/>
          <w:i/>
          <w:sz w:val="24"/>
          <w:szCs w:val="24"/>
          <w:lang w:val="id-ID"/>
        </w:rPr>
        <w:t>bekwan maar niet bevoegd</w:t>
      </w:r>
      <w:r w:rsidRPr="005D0B30">
        <w:rPr>
          <w:rFonts w:ascii="Palatino Linotype" w:hAnsi="Palatino Linotype"/>
          <w:sz w:val="24"/>
          <w:szCs w:val="24"/>
          <w:lang w:val="id-ID"/>
        </w:rPr>
        <w:t xml:space="preserve"> (mampu tapi tidak berwenang). Karena itu, Satjipto Rahardjo mengajak untuk berfikir, apakah beralasan, jika kita membiarkan apa yang kita temui harus dibetulkan, tetapi menghindarinya, dengan berputar-putar pada masalah metodologis. </w:t>
      </w: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lang w:val="id-ID"/>
        </w:rPr>
        <w:lastRenderedPageBreak/>
        <w:t>Sebagai akibatnya, hasil pekerjaan pada akhirnya akan kurang benar tetapi tidak bisa diluruskan. Kebenaran telah dikalahkan dengan cara untuk mencapai kebenaran itu sendiri. Kalau memang bisa ditunjukan, bahwa hukum atau undang-undang mengandung cacat mengapa kita tidak berusaha membetulkannya.</w:t>
      </w:r>
      <w:r w:rsidRPr="005D0B30">
        <w:rPr>
          <w:rStyle w:val="FootnoteReference"/>
          <w:rFonts w:ascii="Palatino Linotype" w:hAnsi="Palatino Linotype"/>
          <w:sz w:val="24"/>
          <w:szCs w:val="24"/>
          <w:lang w:val="id-ID"/>
        </w:rPr>
        <w:footnoteReference w:id="36"/>
      </w:r>
      <w:r w:rsidRPr="005D0B30">
        <w:rPr>
          <w:rFonts w:ascii="Palatino Linotype" w:hAnsi="Palatino Linotype"/>
          <w:sz w:val="24"/>
          <w:szCs w:val="24"/>
          <w:lang w:val="id-ID"/>
        </w:rPr>
        <w:t xml:space="preserve"> Maka, sudah selayaknya politik hukum nasional harus memandang perlunya lembaga yang dapat menilai suatu produk hukum nasional.</w:t>
      </w: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lang w:val="id-ID"/>
        </w:rPr>
        <w:t>Persoalan yang baik dipaparkan oleh Satjipto Rahardjo adalah abstraksi dari pemikiran yang mendominasi segenap pendiri negara pasca kemerdekaan. Suatu pengadilan yang bebas dan tidak dipengaruhi bukan menjadi syarat utama negara hukum. Kekuasaan yudikatif dalam kurun waktu tersebut kerap kali menyisakan berita yang kurang menggembirakan. Hal ini membuktikan kekuasaan yudikatif tersuboordinasi oleh kekuasaan legislatif dan eksekutif yang merupakan bentuk paling nyata dari peningkatan subtantif UUD 1945. Bahwa sangat beralasan untuk mengatakan ketika hukum dipengaruhi, ditentukan, bahkan diinvertensi oleh politik seperti yang terlihat dalam tataran praktik di Indonesia.</w:t>
      </w: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lang w:val="id-ID"/>
        </w:rPr>
        <w:t xml:space="preserve">Orang dapat memperdebatkan tentang persoalan kedaulatan negara. Terkait dengan persoalan supremasi parlemen yang dibangun dalam konstitusional di Indonesia pasca kemerdekaan. Pra kemerdekaan di Indonesia memandang </w:t>
      </w:r>
      <w:r w:rsidRPr="005D0B30">
        <w:rPr>
          <w:rFonts w:ascii="Palatino Linotype" w:hAnsi="Palatino Linotype"/>
          <w:i/>
          <w:sz w:val="24"/>
          <w:szCs w:val="24"/>
          <w:lang w:val="id-ID"/>
        </w:rPr>
        <w:t>judicial review</w:t>
      </w:r>
      <w:r w:rsidRPr="005D0B30">
        <w:rPr>
          <w:rFonts w:ascii="Palatino Linotype" w:hAnsi="Palatino Linotype"/>
          <w:sz w:val="24"/>
          <w:szCs w:val="24"/>
          <w:lang w:val="id-ID"/>
        </w:rPr>
        <w:t xml:space="preserve"> dianggap kurang baik bagi embrio negara Indonesi merdeka. Argumentasi berbeda diberikan oleh Daniel S.Lev menjelaskan bahwa dominasi faktor kekuasaan dikaitkan dengan pendapat Weber mengenai bentuk-bentuk kekuasaan. Secara singkat dikatakan bahwa model patrimonialisme Weber yang relevan mengandung anggapan adanya sentralitas  personal dalam kepemimpinan politik, secara tidak langsung juga adanya kekuasan bertindak sangat besar bagi seorang pemimpin dan para pejabat yang ada dibawahnya untuk menangani urusan masyarakat. Keabsahan patrimonialisme memberi pengakuan kepada seoarang pemimpin sebagai sumber kekuasaan, satu-satunya patokan politik dan dan keadilan.</w:t>
      </w:r>
      <w:r w:rsidRPr="005D0B30">
        <w:rPr>
          <w:rStyle w:val="FootnoteReference"/>
          <w:rFonts w:ascii="Palatino Linotype" w:hAnsi="Palatino Linotype"/>
          <w:sz w:val="24"/>
          <w:szCs w:val="24"/>
          <w:lang w:val="id-ID"/>
        </w:rPr>
        <w:footnoteReference w:id="37"/>
      </w:r>
      <w:r w:rsidRPr="005D0B30">
        <w:rPr>
          <w:rFonts w:ascii="Palatino Linotype" w:hAnsi="Palatino Linotype"/>
          <w:sz w:val="24"/>
          <w:szCs w:val="24"/>
          <w:lang w:val="id-ID"/>
        </w:rPr>
        <w:t xml:space="preserve"> Rangkaian negara yang demikian akhirnya secara politik hukum menjadikan negara lebih kuat dibandingkan dengan hukum, dikarenakan konstitusi tidak memberikan ruang pada lembaga yudikatif dalam konstitusinya. </w:t>
      </w: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lang w:val="id-ID"/>
        </w:rPr>
        <w:t>Secara politik hukum lembaga yudikatif pra kemerdekaan yakni dimana kepentingan negara diwakili pemerintah, sedangkan kepentingan rakyat diinstitusionalisasikan melalui parlement dan kekuasaan hukum dijalankan oleh lembaga yudikatif. Ada kekuasaan yudikatif yang bersifat sentralistis yang dilaksanakan oleh Mahkamah Agung  (</w:t>
      </w:r>
      <w:r w:rsidRPr="005D0B30">
        <w:rPr>
          <w:rFonts w:ascii="Palatino Linotype" w:hAnsi="Palatino Linotype"/>
          <w:i/>
          <w:sz w:val="24"/>
          <w:szCs w:val="24"/>
          <w:lang w:val="id-ID"/>
        </w:rPr>
        <w:t>Supreme Court</w:t>
      </w:r>
      <w:r w:rsidRPr="005D0B30">
        <w:rPr>
          <w:rFonts w:ascii="Palatino Linotype" w:hAnsi="Palatino Linotype"/>
          <w:sz w:val="24"/>
          <w:szCs w:val="24"/>
          <w:lang w:val="id-ID"/>
        </w:rPr>
        <w:t xml:space="preserve">) dan ada pula negara yang mendistribusikan  ke dalam dua cabang yakni </w:t>
      </w:r>
      <w:r w:rsidRPr="005D0B30">
        <w:rPr>
          <w:rFonts w:ascii="Palatino Linotype" w:hAnsi="Palatino Linotype"/>
          <w:i/>
          <w:sz w:val="24"/>
          <w:szCs w:val="24"/>
          <w:lang w:val="id-ID"/>
        </w:rPr>
        <w:t>Supreme Court</w:t>
      </w:r>
      <w:r w:rsidRPr="005D0B30">
        <w:rPr>
          <w:rFonts w:ascii="Palatino Linotype" w:hAnsi="Palatino Linotype"/>
          <w:sz w:val="24"/>
          <w:szCs w:val="24"/>
          <w:lang w:val="id-ID"/>
        </w:rPr>
        <w:t xml:space="preserve"> dan </w:t>
      </w:r>
      <w:r w:rsidRPr="005D0B30">
        <w:rPr>
          <w:rFonts w:ascii="Palatino Linotype" w:hAnsi="Palatino Linotype"/>
          <w:i/>
          <w:sz w:val="24"/>
          <w:szCs w:val="24"/>
          <w:lang w:val="id-ID"/>
        </w:rPr>
        <w:t>Contitutional Court</w:t>
      </w:r>
      <w:r w:rsidRPr="005D0B30">
        <w:rPr>
          <w:rFonts w:ascii="Palatino Linotype" w:hAnsi="Palatino Linotype"/>
          <w:sz w:val="24"/>
          <w:szCs w:val="24"/>
          <w:lang w:val="id-ID"/>
        </w:rPr>
        <w:t xml:space="preserve"> (melindungi konstitusi). Akan tetapi, akibat rumusan UUD 1945 pra kemedekaan secara riil tidak mengadopsi </w:t>
      </w:r>
      <w:r w:rsidRPr="005D0B30">
        <w:rPr>
          <w:rFonts w:ascii="Palatino Linotype" w:hAnsi="Palatino Linotype"/>
          <w:i/>
          <w:sz w:val="24"/>
          <w:szCs w:val="24"/>
          <w:lang w:val="id-ID"/>
        </w:rPr>
        <w:t>supremacy of law</w:t>
      </w:r>
      <w:r w:rsidRPr="005D0B30">
        <w:rPr>
          <w:rFonts w:ascii="Palatino Linotype" w:hAnsi="Palatino Linotype"/>
          <w:sz w:val="24"/>
          <w:szCs w:val="24"/>
          <w:lang w:val="id-ID"/>
        </w:rPr>
        <w:t xml:space="preserve"> melainkan </w:t>
      </w:r>
      <w:r w:rsidRPr="005D0B30">
        <w:rPr>
          <w:rFonts w:ascii="Palatino Linotype" w:hAnsi="Palatino Linotype"/>
          <w:i/>
          <w:sz w:val="24"/>
          <w:szCs w:val="24"/>
          <w:lang w:val="id-ID"/>
        </w:rPr>
        <w:t>supremacy of state</w:t>
      </w:r>
      <w:r w:rsidRPr="005D0B30">
        <w:rPr>
          <w:rFonts w:ascii="Palatino Linotype" w:hAnsi="Palatino Linotype"/>
          <w:sz w:val="24"/>
          <w:szCs w:val="24"/>
          <w:lang w:val="id-ID"/>
        </w:rPr>
        <w:t xml:space="preserve"> maka </w:t>
      </w:r>
      <w:r w:rsidRPr="005D0B30">
        <w:rPr>
          <w:rFonts w:ascii="Palatino Linotype" w:hAnsi="Palatino Linotype"/>
          <w:sz w:val="24"/>
          <w:szCs w:val="24"/>
          <w:lang w:val="id-ID"/>
        </w:rPr>
        <w:lastRenderedPageBreak/>
        <w:t xml:space="preserve">pandangan yang terjadi adalah tidak ada lembaga khusus yang dapat melakukan </w:t>
      </w:r>
      <w:r w:rsidRPr="005D0B30">
        <w:rPr>
          <w:rFonts w:ascii="Palatino Linotype" w:hAnsi="Palatino Linotype"/>
          <w:i/>
          <w:sz w:val="24"/>
          <w:szCs w:val="24"/>
          <w:lang w:val="id-ID"/>
        </w:rPr>
        <w:t>review</w:t>
      </w:r>
      <w:r w:rsidRPr="005D0B30">
        <w:rPr>
          <w:rFonts w:ascii="Palatino Linotype" w:hAnsi="Palatino Linotype"/>
          <w:sz w:val="24"/>
          <w:szCs w:val="24"/>
          <w:lang w:val="id-ID"/>
        </w:rPr>
        <w:t xml:space="preserve"> terhadap peraturan perundang-undangan. </w:t>
      </w: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lang w:val="id-ID"/>
        </w:rPr>
        <w:t xml:space="preserve">Hal yang demikian, menandaskan bahwa secara politik hukum lembaga yudikatif yang tidak diberikan kewenangan secara konstitusi untuk melakukan </w:t>
      </w:r>
      <w:r w:rsidRPr="005D0B30">
        <w:rPr>
          <w:rFonts w:ascii="Palatino Linotype" w:hAnsi="Palatino Linotype"/>
          <w:i/>
          <w:sz w:val="24"/>
          <w:szCs w:val="24"/>
          <w:lang w:val="id-ID"/>
        </w:rPr>
        <w:t>review</w:t>
      </w:r>
      <w:r w:rsidRPr="005D0B30">
        <w:rPr>
          <w:rFonts w:ascii="Palatino Linotype" w:hAnsi="Palatino Linotype"/>
          <w:sz w:val="24"/>
          <w:szCs w:val="24"/>
          <w:lang w:val="id-ID"/>
        </w:rPr>
        <w:t xml:space="preserve"> lebih diakibatkan para pendiri negara terpengaruh oleh sejarah politik konstitusi Weimar 1919.</w:t>
      </w:r>
      <w:r w:rsidRPr="005D0B30">
        <w:rPr>
          <w:rStyle w:val="FootnoteReference"/>
          <w:rFonts w:ascii="Palatino Linotype" w:hAnsi="Palatino Linotype"/>
          <w:sz w:val="24"/>
          <w:szCs w:val="24"/>
          <w:lang w:val="id-ID"/>
        </w:rPr>
        <w:footnoteReference w:id="38"/>
      </w:r>
      <w:r w:rsidRPr="005D0B30">
        <w:rPr>
          <w:rFonts w:ascii="Palatino Linotype" w:hAnsi="Palatino Linotype"/>
          <w:sz w:val="24"/>
          <w:szCs w:val="24"/>
          <w:lang w:val="id-ID"/>
        </w:rPr>
        <w:t xml:space="preserve"> Pada akhinya lembaga yudikatif yang tidak diberikan kewenangan secara kontitusi, apabila memaksakan diri untuk melakukan </w:t>
      </w:r>
      <w:r w:rsidRPr="005D0B30">
        <w:rPr>
          <w:rFonts w:ascii="Palatino Linotype" w:hAnsi="Palatino Linotype"/>
          <w:i/>
          <w:sz w:val="24"/>
          <w:szCs w:val="24"/>
          <w:lang w:val="id-ID"/>
        </w:rPr>
        <w:t>review</w:t>
      </w:r>
      <w:r w:rsidRPr="005D0B30">
        <w:rPr>
          <w:rFonts w:ascii="Palatino Linotype" w:hAnsi="Palatino Linotype"/>
          <w:sz w:val="24"/>
          <w:szCs w:val="24"/>
          <w:lang w:val="id-ID"/>
        </w:rPr>
        <w:t xml:space="preserve"> maka tindakan yudikatif tersebut dikatakan tidak konstitusionalitas atau inskonstitusionalitas.</w:t>
      </w: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lang w:val="id-ID"/>
        </w:rPr>
        <w:t xml:space="preserve">Padahal perlu diingat juga, dalam politik hukum konstitusi harus mempertimbangkan kelompok kepentingan. Meskipun kelompok-kelompok kepentingan lebih dikenal karena upayanya untuk mempengaruhi keputusan-keputusan cabang legislatif dan eksekutif, mereka juga mengejar tujuan-tujuan kebijakan di yudikatif. Beberapa kelompok mendapati bahwa yudikatif lebih menerima upaya pihak kepentingan daripada kedua cabang lainnya. Alasanya kelompok kepentingan yang tidak memiliki kekuatan penuh di legislatif dapat dengan mudah mendapatkan hak konstitusional. </w:t>
      </w: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lang w:val="id-ID"/>
        </w:rPr>
        <w:t xml:space="preserve">Untuk itulah nilai penting hak konstitusi yang kontitusional bagi kelompok-kelompok masyarakat harus terus dijaga secara konstitusional dalam rangka menjaga kesewenang-wenangan dari pihak eksekutif dan legislatif yang tidak bertanggung jawab. Maka, langkah </w:t>
      </w:r>
      <w:r w:rsidRPr="005D0B30">
        <w:rPr>
          <w:rFonts w:ascii="Palatino Linotype" w:hAnsi="Palatino Linotype"/>
          <w:i/>
          <w:sz w:val="24"/>
          <w:szCs w:val="24"/>
          <w:lang w:val="id-ID"/>
        </w:rPr>
        <w:t>triadic dispute resolution</w:t>
      </w:r>
      <w:r w:rsidRPr="005D0B30">
        <w:rPr>
          <w:rFonts w:ascii="Palatino Linotype" w:hAnsi="Palatino Linotype"/>
          <w:sz w:val="24"/>
          <w:szCs w:val="24"/>
          <w:lang w:val="id-ID"/>
        </w:rPr>
        <w:t xml:space="preserve"> yang dilakukan oleh yudikatif merupakan langkah untuk menegakan konstitusi dan hak konstitusionalisme bagi kaum minoritas dan pihak kepentingan untuk mendapatkan hak-haknya. Sebab, melalui jalan </w:t>
      </w:r>
      <w:r w:rsidRPr="005D0B30">
        <w:rPr>
          <w:rFonts w:ascii="Palatino Linotype" w:hAnsi="Palatino Linotype"/>
          <w:i/>
          <w:sz w:val="24"/>
          <w:szCs w:val="24"/>
          <w:lang w:val="id-ID"/>
        </w:rPr>
        <w:t>triadic dispute resolution</w:t>
      </w:r>
      <w:r w:rsidRPr="005D0B30">
        <w:rPr>
          <w:rFonts w:ascii="Palatino Linotype" w:hAnsi="Palatino Linotype"/>
          <w:sz w:val="24"/>
          <w:szCs w:val="24"/>
          <w:lang w:val="id-ID"/>
        </w:rPr>
        <w:t xml:space="preserve"> pihak yudikatif dapat memberikan argumentasi terhadap legislatif dan eksekutif terhadap kasus yang berkaitan dengan hak konstitusional warga negara.</w:t>
      </w:r>
    </w:p>
    <w:p w:rsidR="005D0B30" w:rsidRPr="005D0B30" w:rsidRDefault="005D0B30" w:rsidP="005D0B30">
      <w:pPr>
        <w:spacing w:after="0" w:line="240" w:lineRule="auto"/>
        <w:jc w:val="both"/>
        <w:rPr>
          <w:rFonts w:ascii="Palatino Linotype" w:hAnsi="Palatino Linotype"/>
          <w:b/>
          <w:sz w:val="24"/>
          <w:szCs w:val="24"/>
        </w:rPr>
      </w:pPr>
    </w:p>
    <w:p w:rsidR="005D0B30" w:rsidRPr="005D0B30" w:rsidRDefault="005D0B30" w:rsidP="005D0B30">
      <w:pPr>
        <w:numPr>
          <w:ilvl w:val="0"/>
          <w:numId w:val="17"/>
        </w:numPr>
        <w:spacing w:after="0" w:line="240" w:lineRule="auto"/>
        <w:ind w:left="284" w:hanging="284"/>
        <w:rPr>
          <w:rFonts w:ascii="Palatino Linotype" w:hAnsi="Palatino Linotype"/>
          <w:b/>
          <w:sz w:val="24"/>
          <w:szCs w:val="24"/>
        </w:rPr>
      </w:pPr>
      <w:r w:rsidRPr="005D0B30">
        <w:rPr>
          <w:rFonts w:ascii="Palatino Linotype" w:hAnsi="Palatino Linotype"/>
          <w:b/>
          <w:sz w:val="24"/>
          <w:szCs w:val="24"/>
        </w:rPr>
        <w:t xml:space="preserve">Konstribusi Muhammad Yamin dan Soepomo dalam Pembentukan Lembaga Pengawal Konstitusi  </w:t>
      </w: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lang w:val="id-ID"/>
        </w:rPr>
        <w:t>Daniel S. Lev mengatakan bahwa perhatian para pendiri Indonesia banyak tersita dalam upaya-upaya merealisasikan persatuan nasional saja, banyak mengabaikan inovasi-inovasi pranata dan kelembagaan masyarakat. Para pendiri negara banyak berbicara tentang cita-cita, akan tetapi pada saat dihadapkan pada kenyataan banyak yang tidak siap untuk melakukan perubahan-perubahan.</w:t>
      </w:r>
      <w:r w:rsidRPr="005D0B30">
        <w:rPr>
          <w:rStyle w:val="FootnoteReference"/>
          <w:rFonts w:ascii="Palatino Linotype" w:hAnsi="Palatino Linotype"/>
          <w:sz w:val="24"/>
          <w:szCs w:val="24"/>
          <w:lang w:val="id-ID"/>
        </w:rPr>
        <w:footnoteReference w:id="39"/>
      </w:r>
      <w:r w:rsidRPr="005D0B30">
        <w:rPr>
          <w:rFonts w:ascii="Palatino Linotype" w:hAnsi="Palatino Linotype"/>
          <w:sz w:val="24"/>
          <w:szCs w:val="24"/>
          <w:lang w:val="id-ID"/>
        </w:rPr>
        <w:t xml:space="preserve"> Ketika dihadapkan pada persoalan dan realita yang ada, para elit cenderung mencari pemecahan dengan merujuk pada petunjuk lama yang pernah mereka kenal.</w:t>
      </w:r>
      <w:r w:rsidRPr="005D0B30">
        <w:rPr>
          <w:rStyle w:val="FootnoteReference"/>
          <w:rFonts w:ascii="Palatino Linotype" w:hAnsi="Palatino Linotype"/>
          <w:sz w:val="24"/>
          <w:szCs w:val="24"/>
          <w:lang w:val="id-ID"/>
        </w:rPr>
        <w:footnoteReference w:id="40"/>
      </w:r>
      <w:r w:rsidRPr="005D0B30">
        <w:rPr>
          <w:rFonts w:ascii="Palatino Linotype" w:hAnsi="Palatino Linotype"/>
          <w:sz w:val="24"/>
          <w:szCs w:val="24"/>
          <w:lang w:val="id-ID"/>
        </w:rPr>
        <w:t xml:space="preserve"> </w:t>
      </w:r>
      <w:r w:rsidRPr="005D0B30">
        <w:rPr>
          <w:rFonts w:ascii="Palatino Linotype" w:hAnsi="Palatino Linotype"/>
          <w:sz w:val="24"/>
          <w:szCs w:val="24"/>
          <w:lang w:val="id-ID"/>
        </w:rPr>
        <w:lastRenderedPageBreak/>
        <w:t>Argumentasi yang inovatif  untuk membuat terobosan sebagaimana yang pernah dikatalkan oleh Muhammad Yamin untuk memberikan kewenangan pada Mahkamah Agung guna melakukan peninjauan dan penilaian terhadap seluruh produk perundang-undangan yang ada terbentur pada keberatan Soepomo yang lebih menyukai model-model kelembagaan yang selama ini sudah dikenal oleh pakar hukum Indonesia.</w:t>
      </w:r>
      <w:r w:rsidRPr="005D0B30">
        <w:rPr>
          <w:rStyle w:val="FootnoteReference"/>
          <w:rFonts w:ascii="Palatino Linotype" w:hAnsi="Palatino Linotype"/>
          <w:sz w:val="24"/>
          <w:szCs w:val="24"/>
          <w:lang w:val="id-ID"/>
        </w:rPr>
        <w:footnoteReference w:id="41"/>
      </w:r>
      <w:r w:rsidRPr="005D0B30">
        <w:rPr>
          <w:rFonts w:ascii="Palatino Linotype" w:hAnsi="Palatino Linotype"/>
          <w:sz w:val="24"/>
          <w:szCs w:val="24"/>
          <w:lang w:val="id-ID"/>
        </w:rPr>
        <w:t xml:space="preserve"> UUD 1945 yang ditetapkan melalui Berita Negara Tahun II No. 7 tertanggal 15 Februari 1946. </w:t>
      </w: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lang w:val="id-ID"/>
        </w:rPr>
        <w:t>Hal ikhwal kekuasaan yudikatif dicantumkan dalam Bab IX seperti termaktub dalam Pasal 24 Ayat (1) UUD yang menyebutkan: kekuasaan kehakiman dilaksanakan oleh Mahkamah Agung, dan lain-lain badan kehakiman menurut undang-undang, selanjutnya Ayat (2) susunan dan kekuasaan kehakiman diatur dengan undang-undang. Sehingga tidak banyak yang dapat diutarakan terkait dengan lembaga yudikatif. Sebab situasi negara pada saat tersebut cenderung bergejolak dan tidak menentu, karena Inggris mendaratkan pasukan di Padang, disamping itu sebagai kelanjutnya pemerintah Belanda merealisasikan negara federal atas negara kesatuan.</w:t>
      </w: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lang w:val="id-ID"/>
        </w:rPr>
        <w:t xml:space="preserve">Seperti diketahui dalam komisi tiga negara (Amerika Serikat, Australia dan Belgia) memulai perundingan pada tanggal 8 Desember 1947 di kapal perang milik Amerika Serikat (Renville) yang berlabuh di pelabuhan Tanjung Priok. Bantuan komisi tiga negara adalah untuk menyelesaikan pertikaian politik di pulau Jawa, Sumatera, dan madura dengan prinsip perjanjian Linggarjati. Pasca kabinet Amir bubar pada tanggal 23 Januari 1948, Bung Hatta sebagai wakil Presiden ditunjuk sebagai formatur kabinet. Susunan kabinet pada waktu itu menampilkan Susanto Tirtoprodjo sebagai Menteri Kehakiman. </w:t>
      </w: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lang w:val="id-ID"/>
        </w:rPr>
        <w:t xml:space="preserve">Sejalan dengan peristiwa di atas, unifikasi badan-badan peradilan yang telah diperkenalkan oleh pemerintah kolonial dan militer Jepang ternyata diteruskan oleh Indonesia, bahkan dilanjutkan dengan proses penyederhanaannya. Badan-badan yudikatif tingkat pertama yang masih jamak dan beragam pada masa pendudukan Jepang, kini disatukan. </w:t>
      </w:r>
      <w:r w:rsidRPr="005D0B30">
        <w:rPr>
          <w:rFonts w:ascii="Palatino Linotype" w:hAnsi="Palatino Linotype"/>
          <w:i/>
          <w:sz w:val="24"/>
          <w:szCs w:val="24"/>
          <w:lang w:val="id-ID"/>
        </w:rPr>
        <w:t>Gun Hoin (Districtsgerecht), Ken Hoin (Regentsgerecht), Keizan Hoin (Landgerecht)</w:t>
      </w:r>
      <w:r w:rsidRPr="005D0B30">
        <w:rPr>
          <w:rFonts w:ascii="Palatino Linotype" w:hAnsi="Palatino Linotype"/>
          <w:sz w:val="24"/>
          <w:szCs w:val="24"/>
          <w:lang w:val="id-ID"/>
        </w:rPr>
        <w:t xml:space="preserve"> yang ditiadakan dan fungsinya dialihkan pada </w:t>
      </w:r>
      <w:r w:rsidRPr="005D0B30">
        <w:rPr>
          <w:rFonts w:ascii="Palatino Linotype" w:hAnsi="Palatino Linotype"/>
          <w:i/>
          <w:sz w:val="24"/>
          <w:szCs w:val="24"/>
          <w:lang w:val="id-ID"/>
        </w:rPr>
        <w:t>Tiho Hoin (Landraad)</w:t>
      </w:r>
      <w:r w:rsidRPr="005D0B30">
        <w:rPr>
          <w:rFonts w:ascii="Palatino Linotype" w:hAnsi="Palatino Linotype"/>
          <w:sz w:val="24"/>
          <w:szCs w:val="24"/>
          <w:lang w:val="id-ID"/>
        </w:rPr>
        <w:t xml:space="preserve"> yang sejak saat itu dinamakan pengadilan negeri. Sedangkan </w:t>
      </w:r>
      <w:r w:rsidRPr="005D0B30">
        <w:rPr>
          <w:rFonts w:ascii="Palatino Linotype" w:hAnsi="Palatino Linotype"/>
          <w:i/>
          <w:sz w:val="24"/>
          <w:szCs w:val="24"/>
          <w:lang w:val="id-ID"/>
        </w:rPr>
        <w:t>Saiko Hoin (Hooggerechtshof)</w:t>
      </w:r>
      <w:r w:rsidRPr="005D0B30">
        <w:rPr>
          <w:rFonts w:ascii="Palatino Linotype" w:hAnsi="Palatino Linotype"/>
          <w:sz w:val="24"/>
          <w:szCs w:val="24"/>
          <w:lang w:val="id-ID"/>
        </w:rPr>
        <w:t xml:space="preserve"> dijadikan pengadilan pemeriksa perkara-perkara kasasi, disebut Mahkamah Agung.</w:t>
      </w: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lang w:val="id-ID"/>
        </w:rPr>
        <w:t xml:space="preserve">Lembaga yudikatif tersebut merupakan cermin dari kompleksitas sistem peradilan yang sudah ada sejak pemerintahan kolonial. Bahkan pemebentukan lembaga yudikatif yang tersusun secara hierarkis, menurut Peter J Burn dilatarbelakangi oleh kebutuhan untuk menyelesaikan perkatra-perkara adat atau konflik hukum yang terjadi  di antara masyarakat adat itu sendiri. Jadi, di satu sisi pemerintah kolonial secara kelembagaan jauh hari telah mempersiapkan pranata </w:t>
      </w:r>
      <w:r w:rsidRPr="005D0B30">
        <w:rPr>
          <w:rFonts w:ascii="Palatino Linotype" w:hAnsi="Palatino Linotype"/>
          <w:sz w:val="24"/>
          <w:szCs w:val="24"/>
          <w:lang w:val="id-ID"/>
        </w:rPr>
        <w:lastRenderedPageBreak/>
        <w:t xml:space="preserve">hukum untuk mengantisipasi timbulnya sengketa hukum. Walau di sisi lain lain rezim kolonial sedang bertindak sebagai pemangsa dan merupakan bentuk paling akhir dari penghisapan atas seluruh potensi bangsa. </w:t>
      </w: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lang w:val="id-ID"/>
        </w:rPr>
        <w:t xml:space="preserve">Setelah UUD pertama berlaku, maka semua lembaga yudikatif tersebut adalah lembaga negara. Hal tersebut menegaskan bahwa semua lembaga yudikatif oleh dan atas nama negara, termasuk peradilan agama yang ada kemudian. Penyederhanaan lembaga peradilan tersebut juga tidak memberikan hak secara konstitusi pada lembaga yudikatif terkait dengan kewenangan untuk melakukan </w:t>
      </w:r>
      <w:r w:rsidRPr="005D0B30">
        <w:rPr>
          <w:rFonts w:ascii="Palatino Linotype" w:hAnsi="Palatino Linotype"/>
          <w:i/>
          <w:sz w:val="24"/>
          <w:szCs w:val="24"/>
          <w:lang w:val="id-ID"/>
        </w:rPr>
        <w:t>review</w:t>
      </w:r>
      <w:r w:rsidRPr="005D0B30">
        <w:rPr>
          <w:rFonts w:ascii="Palatino Linotype" w:hAnsi="Palatino Linotype"/>
          <w:sz w:val="24"/>
          <w:szCs w:val="24"/>
          <w:lang w:val="id-ID"/>
        </w:rPr>
        <w:t xml:space="preserve">, menyelesaikan sengketa kelembagaan, pembubaran partai politik, </w:t>
      </w:r>
      <w:r w:rsidRPr="005D0B30">
        <w:rPr>
          <w:rFonts w:ascii="Palatino Linotype" w:hAnsi="Palatino Linotype"/>
          <w:i/>
          <w:sz w:val="24"/>
          <w:szCs w:val="24"/>
          <w:lang w:val="id-ID"/>
        </w:rPr>
        <w:t>impeacment</w:t>
      </w:r>
      <w:r w:rsidRPr="005D0B30">
        <w:rPr>
          <w:rFonts w:ascii="Palatino Linotype" w:hAnsi="Palatino Linotype"/>
          <w:sz w:val="24"/>
          <w:szCs w:val="24"/>
          <w:lang w:val="id-ID"/>
        </w:rPr>
        <w:t>. Maka secara tegas dapat dikatakan jika konstitusi tidak mengatur atau memberikan kewenangan tersebut dalam kontitusi maka yudikatif tidak dapat melakukan tugas tersebut.</w:t>
      </w: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lang w:val="id-ID"/>
        </w:rPr>
        <w:t xml:space="preserve">Selama periode pertama berlakunya UUD 1945 telah terjadi pergolakan dalam mempertahankan kemerdekaan. Situasi ini merupakan cobaan berat bagi bangsa Indonesia setelah berabad-abad menjadi bangsa yang terjajah di bawah imperialis. Pertentangan antara Indonesia Belanda yang kemudian ditengahi oleh suatu badan yang bertanggung jawab ke PBB. Dalam kacamata Sri Soemantri, setelah perundingan beberapa kali mengalami kemacetan, pada akhirnya disepakati untuk diselenggarakan Konferensi Meja Bundar di Den Haag pada tanggal 27 Desember 1949, pada saat itu juga berlaku konstitusi RIS 1949. Konstitusi RIS 1949, merupakan konstitusi RI II secara subtantif menganut asas-asas umum sebagaimana lazimnya terdapat dalam hukum dasar. Asas-asas umum itu meliputi, negara berdasarkan hukum, adanya jaminan hak asasi manusia, dan persamaan dimuka huku, kebebasan berkumpul dalam mengeluarkan pendapat, di samping kekuasaan yudikatif yang mandiri. Boleh dikatakan Konstitusi RIS 1949 jauh lebih baik jika dibandingkan dengan UUD 1945 yang berlaku pada periode I. Perlu juga dikemukakan di sini pendapat Dicey sebagai salah satu arsitek </w:t>
      </w:r>
      <w:r w:rsidRPr="005D0B30">
        <w:rPr>
          <w:rFonts w:ascii="Palatino Linotype" w:hAnsi="Palatino Linotype"/>
          <w:i/>
          <w:sz w:val="24"/>
          <w:szCs w:val="24"/>
          <w:lang w:val="id-ID"/>
        </w:rPr>
        <w:t>the rule of law</w:t>
      </w:r>
      <w:r w:rsidRPr="005D0B30">
        <w:rPr>
          <w:rFonts w:ascii="Palatino Linotype" w:hAnsi="Palatino Linotype"/>
          <w:sz w:val="24"/>
          <w:szCs w:val="24"/>
          <w:lang w:val="id-ID"/>
        </w:rPr>
        <w:t xml:space="preserve"> menyatakan bahwa yang terkandung dalam doktrin konstitusionalisme harus terdiri dari tiga elemen yakni:</w:t>
      </w:r>
    </w:p>
    <w:p w:rsidR="005D0B30" w:rsidRPr="005D0B30" w:rsidRDefault="005D0B30" w:rsidP="005D0B30">
      <w:pPr>
        <w:pStyle w:val="ListParagraph"/>
        <w:numPr>
          <w:ilvl w:val="0"/>
          <w:numId w:val="7"/>
        </w:numPr>
        <w:tabs>
          <w:tab w:val="clear" w:pos="720"/>
        </w:tabs>
        <w:spacing w:after="0" w:line="240" w:lineRule="auto"/>
        <w:ind w:left="284" w:hanging="284"/>
        <w:jc w:val="both"/>
        <w:rPr>
          <w:rFonts w:ascii="Palatino Linotype" w:hAnsi="Palatino Linotype"/>
          <w:lang w:val="id-ID"/>
        </w:rPr>
      </w:pPr>
      <w:r w:rsidRPr="005D0B30">
        <w:rPr>
          <w:rFonts w:ascii="Palatino Linotype" w:hAnsi="Palatino Linotype"/>
          <w:lang w:val="id-ID"/>
        </w:rPr>
        <w:t>Tidak ada kekuasaan pemerintah yang sewenang-wenang;</w:t>
      </w:r>
    </w:p>
    <w:p w:rsidR="005D0B30" w:rsidRPr="005D0B30" w:rsidRDefault="005D0B30" w:rsidP="005D0B30">
      <w:pPr>
        <w:pStyle w:val="ListParagraph"/>
        <w:numPr>
          <w:ilvl w:val="0"/>
          <w:numId w:val="7"/>
        </w:numPr>
        <w:tabs>
          <w:tab w:val="clear" w:pos="720"/>
        </w:tabs>
        <w:spacing w:after="0" w:line="240" w:lineRule="auto"/>
        <w:ind w:left="284" w:hanging="284"/>
        <w:jc w:val="both"/>
        <w:rPr>
          <w:rFonts w:ascii="Palatino Linotype" w:hAnsi="Palatino Linotype"/>
          <w:lang w:val="id-ID"/>
        </w:rPr>
      </w:pPr>
      <w:r w:rsidRPr="005D0B30">
        <w:rPr>
          <w:rFonts w:ascii="Palatino Linotype" w:hAnsi="Palatino Linotype"/>
          <w:lang w:val="id-ID"/>
        </w:rPr>
        <w:t>Pemerintah dan masyarakat sipil tunduk pada hukum;</w:t>
      </w:r>
    </w:p>
    <w:p w:rsidR="005D0B30" w:rsidRPr="005D0B30" w:rsidRDefault="005D0B30" w:rsidP="005D0B30">
      <w:pPr>
        <w:pStyle w:val="ListParagraph"/>
        <w:numPr>
          <w:ilvl w:val="0"/>
          <w:numId w:val="7"/>
        </w:numPr>
        <w:tabs>
          <w:tab w:val="clear" w:pos="720"/>
        </w:tabs>
        <w:spacing w:after="0" w:line="240" w:lineRule="auto"/>
        <w:ind w:left="284" w:hanging="284"/>
        <w:jc w:val="both"/>
        <w:rPr>
          <w:rFonts w:ascii="Palatino Linotype" w:hAnsi="Palatino Linotype"/>
          <w:lang w:val="id-ID"/>
        </w:rPr>
      </w:pPr>
      <w:r w:rsidRPr="005D0B30">
        <w:rPr>
          <w:rFonts w:ascii="Palatino Linotype" w:hAnsi="Palatino Linotype"/>
          <w:lang w:val="id-ID"/>
        </w:rPr>
        <w:t>Peradilan harus diperkuat peranannya dalam menegakan hak-hak konstitusional.</w:t>
      </w:r>
      <w:r w:rsidRPr="005D0B30">
        <w:rPr>
          <w:rStyle w:val="FootnoteReference"/>
          <w:rFonts w:ascii="Palatino Linotype" w:hAnsi="Palatino Linotype"/>
          <w:lang w:val="id-ID"/>
        </w:rPr>
        <w:footnoteReference w:id="42"/>
      </w: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lang w:val="id-ID"/>
        </w:rPr>
        <w:t xml:space="preserve">Elemen-elemen penting sebagaimana disebutkan oleh Dicey ternyata ada adalam konstitusi RIS 1949. Inilah ide konstitusionalisme yang dijadikan tumpuan kehidupan bernegara dan kehidupan berdasarkan hukum bagi Indonesia pasca kemerdekaan yang lenyap selama berlakunya UUD 1945 Republik I. Dalam konstitusi RIS kewenangan Mahkamah Agung tidak diatur melalui sub judul yang dalam UUD 1945 disebut kekuasaan kehakiman, lebih disebabkan karena pembentuk konstitusi RIS 1949 sangat menyadari bahwa pengaturan secara federalistik tidak menghendaki adanya sentralisasi dalam menerapkan fungsi </w:t>
      </w:r>
      <w:r w:rsidRPr="005D0B30">
        <w:rPr>
          <w:rFonts w:ascii="Palatino Linotype" w:hAnsi="Palatino Linotype"/>
          <w:sz w:val="24"/>
          <w:szCs w:val="24"/>
          <w:lang w:val="id-ID"/>
        </w:rPr>
        <w:lastRenderedPageBreak/>
        <w:t xml:space="preserve">memeriksa, mengadili, dan memutus perkara, kecuali pengadilan-pengadilan dimaksud dengan jelas telah keliru dalam menerapkan hukum. Artinya pemerintah negara bagian secara konstitusional memiliki kemandirian untuk membentuk dan mendirikan untuk membentuk dan menjalankan fungsi mengadili dan memutus, </w:t>
      </w:r>
      <w:bookmarkStart w:id="0" w:name="_GoBack"/>
      <w:bookmarkEnd w:id="0"/>
      <w:r w:rsidRPr="005D0B30">
        <w:rPr>
          <w:rFonts w:ascii="Palatino Linotype" w:hAnsi="Palatino Linotype"/>
          <w:sz w:val="24"/>
          <w:szCs w:val="24"/>
          <w:lang w:val="id-ID"/>
        </w:rPr>
        <w:t xml:space="preserve">yang tentu saja secara administrasi berada di bawah pengawasan Mahkamah Agung Federal. Sebab itu dalam Bab IV Pasal 113 Konstitusi RIS mengatakan bahwa Mahkamah Agung yang tersusun dan kekuasaannya yang diatur dengan undang-undang federal. </w:t>
      </w: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lang w:val="id-ID"/>
        </w:rPr>
        <w:t>Dalam Pasal 147 Ayat (1) Konstitusi RIS 1949 dikatakan bahwa Mahkamah Agung Indonesia adalah pengadilan federal tertinggi. Sedangkan pengadilan-pengadilan federal yang lain dapat diadakan dengan undang-undang federal. Dalam distrik federal Jakarta akan dibentuk sekurang-kurangnya satu pengadilan federal yang mengadili dalam tingkat pertama, dan sekurang-kurangnya satu pengadilan tingkat banding.  Di samping itu peran Mahkamah Agung dalam Konstitusi RIS 1949 dapat dijadikan forum untuk mengadili pejabat-pejabat negara yang pada masa jabatanya diduga melakukan pelanggaran hukum.</w:t>
      </w:r>
      <w:r w:rsidRPr="005D0B30">
        <w:rPr>
          <w:rStyle w:val="FootnoteReference"/>
          <w:rFonts w:ascii="Palatino Linotype" w:hAnsi="Palatino Linotype"/>
          <w:sz w:val="24"/>
          <w:szCs w:val="24"/>
          <w:lang w:val="id-ID"/>
        </w:rPr>
        <w:footnoteReference w:id="43"/>
      </w:r>
      <w:r w:rsidRPr="005D0B30">
        <w:rPr>
          <w:rFonts w:ascii="Palatino Linotype" w:hAnsi="Palatino Linotype"/>
          <w:sz w:val="24"/>
          <w:szCs w:val="24"/>
          <w:lang w:val="id-ID"/>
        </w:rPr>
        <w:t xml:space="preserve"> </w:t>
      </w: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lang w:val="id-ID"/>
        </w:rPr>
        <w:t>Kontitusi RIS 1949, pengadilan selain Mahkamah Agung berwenang menemukan dan menyatakan suatu undang-undang negara bagian yang mendasari suatu perkara tidak sesuai dengan konstitusi kemudian pengadilan tersebut tidak diberi kewenangan untuk memutus perkara, artinya putusan pinal dan mengikat tetap berada di Mahkamah Agung. Ketentuan tersebut terdapat dalam Konstitusi RIS 1949 Pasal 158 yang menyatakan:</w:t>
      </w:r>
    </w:p>
    <w:p w:rsidR="005D0B30" w:rsidRPr="005D0B30" w:rsidRDefault="005D0B30" w:rsidP="005D0B30">
      <w:pPr>
        <w:spacing w:after="0" w:line="240" w:lineRule="auto"/>
        <w:ind w:left="2070"/>
        <w:jc w:val="both"/>
        <w:rPr>
          <w:rFonts w:ascii="Palatino Linotype" w:hAnsi="Palatino Linotype"/>
          <w:i/>
          <w:sz w:val="24"/>
          <w:szCs w:val="24"/>
        </w:rPr>
      </w:pPr>
      <w:r w:rsidRPr="005D0B30">
        <w:rPr>
          <w:rFonts w:ascii="Palatino Linotype" w:hAnsi="Palatino Linotype"/>
          <w:i/>
          <w:sz w:val="24"/>
          <w:szCs w:val="24"/>
          <w:lang w:val="id-ID"/>
        </w:rPr>
        <w:t>Jika dalam perkara perdata atau dalam perkara pidana pengadilan lain daripada Mahkamah Agung menyatakan suatu ketentuan dalam ketatanegaraan atau undang-undang daerah bagian tidak menurut konstitusi, dan Mahkamah Agung karena suatu sebab memeriksa perkara itu, maka karena jabatannya ia mempertimbangkan dalam keputusannya apakah pernyataan tidak menurut konstitusi itu dilakukan pada tempatnya.</w:t>
      </w:r>
    </w:p>
    <w:p w:rsidR="005D0B30" w:rsidRPr="005D0B30" w:rsidRDefault="005D0B30" w:rsidP="005D0B30">
      <w:pPr>
        <w:spacing w:after="0" w:line="240" w:lineRule="auto"/>
        <w:ind w:firstLine="567"/>
        <w:jc w:val="both"/>
        <w:rPr>
          <w:rFonts w:ascii="Palatino Linotype" w:hAnsi="Palatino Linotype"/>
          <w:sz w:val="24"/>
          <w:szCs w:val="24"/>
          <w:lang w:val="id-ID"/>
        </w:rPr>
      </w:pPr>
      <w:r w:rsidRPr="005D0B30">
        <w:rPr>
          <w:rFonts w:ascii="Palatino Linotype" w:hAnsi="Palatino Linotype"/>
          <w:sz w:val="24"/>
          <w:szCs w:val="24"/>
          <w:lang w:val="id-ID"/>
        </w:rPr>
        <w:t>Ketentuan pasal tersebut hanya sebatas pada undang-undang negara bagian saja, dengan kata lain undang-undang federal tidak dapat diganggu gugat.</w:t>
      </w:r>
      <w:r w:rsidRPr="005D0B30">
        <w:rPr>
          <w:rStyle w:val="FootnoteReference"/>
          <w:rFonts w:ascii="Palatino Linotype" w:hAnsi="Palatino Linotype"/>
          <w:sz w:val="24"/>
          <w:szCs w:val="24"/>
          <w:lang w:val="id-ID"/>
        </w:rPr>
        <w:footnoteReference w:id="44"/>
      </w:r>
      <w:r w:rsidRPr="005D0B30">
        <w:rPr>
          <w:rFonts w:ascii="Palatino Linotype" w:hAnsi="Palatino Linotype"/>
          <w:sz w:val="24"/>
          <w:szCs w:val="24"/>
          <w:lang w:val="id-ID"/>
        </w:rPr>
        <w:t xml:space="preserve"> Dari ketentuan tersebut sangat jelas bahwa yang dapat diuji secara materil atau dengan berpedoman pada Pasal 130 Ayat (2) Konstitusi RIS 1949, bahwa yang dapat digangu gugat adalah undang-undang negara bagian hal tersebut disebabkan karena adanya ketentuan Pasal 1 Ayat (1) Konstitusi RIS 1949 yang menyebutkan:</w:t>
      </w:r>
    </w:p>
    <w:p w:rsidR="005D0B30" w:rsidRPr="005D0B30" w:rsidRDefault="005D0B30" w:rsidP="005D0B30">
      <w:pPr>
        <w:spacing w:after="0" w:line="240" w:lineRule="auto"/>
        <w:ind w:left="2070"/>
        <w:jc w:val="both"/>
        <w:rPr>
          <w:rFonts w:ascii="Palatino Linotype" w:hAnsi="Palatino Linotype"/>
          <w:i/>
          <w:sz w:val="24"/>
          <w:szCs w:val="24"/>
          <w:lang w:val="id-ID"/>
        </w:rPr>
      </w:pPr>
      <w:r w:rsidRPr="005D0B30">
        <w:rPr>
          <w:rFonts w:ascii="Palatino Linotype" w:hAnsi="Palatino Linotype"/>
          <w:i/>
          <w:sz w:val="24"/>
          <w:szCs w:val="24"/>
          <w:lang w:val="id-ID"/>
        </w:rPr>
        <w:t>Kekuasaan Kedaulatan Republik Indonesia Serikat dilakukan oleh Pemerintah bersama-sama Dewan Perwakilan Rakyat dan Senat.</w:t>
      </w:r>
    </w:p>
    <w:p w:rsidR="005D0B30" w:rsidRPr="005D0B30" w:rsidRDefault="005D0B30" w:rsidP="005D0B30">
      <w:pPr>
        <w:tabs>
          <w:tab w:val="left" w:pos="1260"/>
        </w:tabs>
        <w:spacing w:after="0" w:line="240" w:lineRule="auto"/>
        <w:ind w:left="360"/>
        <w:jc w:val="both"/>
        <w:rPr>
          <w:rFonts w:ascii="Palatino Linotype" w:hAnsi="Palatino Linotype"/>
          <w:sz w:val="24"/>
          <w:szCs w:val="24"/>
          <w:lang w:val="id-ID"/>
        </w:rPr>
      </w:pP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lang w:val="id-ID"/>
        </w:rPr>
        <w:t>Redaksi Pasal 1 Ayat (1) Konstitusi RIS 1949, Pemrintah bersama dengan Dewan Perwakilan Rakyat dan Senat adalah lembaga pelaksana kedaulatan rakyat yang dituangkan dalam bentuk undang-undang federal, sebagaimana ditentukan dalam Pasal 127 Konstitusi RIS 1949. Inilah yang menjadi rasio kenapa sistem yang dianut dalam konstitusi RIS 1949 undang-undang federal tidak dapat diuji secara materil.</w:t>
      </w: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lang w:val="id-ID"/>
        </w:rPr>
        <w:t xml:space="preserve">Sejumlah literatur yang membahas persoalan ini menegaskan bahwa tugas parlemen adalah untuk membuat hukum dan pengadilan untuk melaksanakan undang-undang secara konkrit. Tetapi konsep tersebut sudah lama ditinggalkan oleh banyak negara termasuk negara yang menganut stelsel parlementer. Bahkan dalam pengujian norma abstrak suatu rancangan undang-undang sebelum diundangkan dapat diuji oleh </w:t>
      </w:r>
      <w:r w:rsidRPr="005D0B30">
        <w:rPr>
          <w:rFonts w:ascii="Palatino Linotype" w:hAnsi="Palatino Linotype"/>
          <w:i/>
          <w:sz w:val="24"/>
          <w:szCs w:val="24"/>
          <w:lang w:val="id-ID"/>
        </w:rPr>
        <w:t>Contitutional Court</w:t>
      </w:r>
      <w:r w:rsidRPr="005D0B30">
        <w:rPr>
          <w:rFonts w:ascii="Palatino Linotype" w:hAnsi="Palatino Linotype"/>
          <w:sz w:val="24"/>
          <w:szCs w:val="24"/>
          <w:lang w:val="id-ID"/>
        </w:rPr>
        <w:t>.</w:t>
      </w:r>
      <w:r w:rsidRPr="005D0B30">
        <w:rPr>
          <w:rStyle w:val="FootnoteReference"/>
          <w:rFonts w:ascii="Palatino Linotype" w:hAnsi="Palatino Linotype"/>
          <w:sz w:val="24"/>
          <w:szCs w:val="24"/>
          <w:lang w:val="id-ID"/>
        </w:rPr>
        <w:footnoteReference w:id="45"/>
      </w:r>
      <w:r w:rsidRPr="005D0B30">
        <w:rPr>
          <w:rFonts w:ascii="Palatino Linotype" w:hAnsi="Palatino Linotype"/>
          <w:sz w:val="24"/>
          <w:szCs w:val="24"/>
          <w:lang w:val="id-ID"/>
        </w:rPr>
        <w:t xml:space="preserve"> </w:t>
      </w: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lang w:val="id-ID"/>
        </w:rPr>
        <w:t xml:space="preserve">Secara teoritis, pengujian norma hukum secara abstrak sering digunakan untuk mencegah berlakunya suatu rancangan undang-undang yang bertentangan dengan konstitusi. Tindakan semacam ini disebut veto blok ketika ketentuan mayoritas berupaya untuk meloloskan suatu rancangan undang-undang tanpa menghiraukan kepentingan kelompok minoritas sebagimana ditentukan dalam konstitusi. Pengujian norma hukum secara abstrak sering dinamakan </w:t>
      </w:r>
      <w:r w:rsidRPr="005D0B30">
        <w:rPr>
          <w:rFonts w:ascii="Palatino Linotype" w:hAnsi="Palatino Linotype"/>
          <w:i/>
          <w:sz w:val="24"/>
          <w:szCs w:val="24"/>
          <w:lang w:val="id-ID"/>
        </w:rPr>
        <w:t>politician abstract review</w:t>
      </w:r>
      <w:r w:rsidRPr="005D0B30">
        <w:rPr>
          <w:rStyle w:val="FootnoteReference"/>
          <w:rFonts w:ascii="Palatino Linotype" w:hAnsi="Palatino Linotype"/>
          <w:sz w:val="24"/>
          <w:szCs w:val="24"/>
          <w:lang w:val="id-ID"/>
        </w:rPr>
        <w:footnoteReference w:id="46"/>
      </w:r>
      <w:r w:rsidRPr="005D0B30">
        <w:rPr>
          <w:rFonts w:ascii="Palatino Linotype" w:hAnsi="Palatino Linotype"/>
          <w:sz w:val="24"/>
          <w:szCs w:val="24"/>
          <w:lang w:val="id-ID"/>
        </w:rPr>
        <w:t xml:space="preserve"> karena memang hanya dapat diajukan oleh politisi di dalam parlemen atau lembaga negara tingkat pusat dan daerah.</w:t>
      </w: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lang w:val="id-ID"/>
        </w:rPr>
        <w:t>Dalam sistem demokrasi yang berkebang dewasa ini, produkivitas undang-undang lazim dimotori oleh gabungan elemen-elemen kekuatan yang dikualifikasi oleh kelompok mayoritas. Sehubungan dengan keadaan yang demikian, perlu disadari bahwa demokrasi akan mengalami kevakuman bila tidak dibangun pada landasan yang lebih egalatarian. Karena itu argumentasi kuantitatif tidak sepatutnya untuk mengurangi kualitas nilai-nilai demokrasi. Kelompok minoritas harus diberikan hak dan jangan dijadikan sebagai tawanan berpendapat.</w:t>
      </w:r>
      <w:r w:rsidRPr="005D0B30">
        <w:rPr>
          <w:rFonts w:ascii="Palatino Linotype" w:hAnsi="Palatino Linotype"/>
          <w:sz w:val="24"/>
          <w:szCs w:val="24"/>
        </w:rPr>
        <w:t xml:space="preserve"> </w:t>
      </w:r>
      <w:r w:rsidRPr="005D0B30">
        <w:rPr>
          <w:rFonts w:ascii="Palatino Linotype" w:hAnsi="Palatino Linotype"/>
          <w:sz w:val="24"/>
          <w:szCs w:val="24"/>
          <w:lang w:val="id-ID"/>
        </w:rPr>
        <w:t xml:space="preserve">Dasawarsa berlakunya UUDS 1950 peran </w:t>
      </w:r>
      <w:r w:rsidRPr="005D0B30">
        <w:rPr>
          <w:rFonts w:ascii="Palatino Linotype" w:hAnsi="Palatino Linotype"/>
          <w:i/>
          <w:sz w:val="24"/>
          <w:szCs w:val="24"/>
          <w:lang w:val="id-ID"/>
        </w:rPr>
        <w:t>Supreme Court</w:t>
      </w:r>
      <w:r w:rsidRPr="005D0B30">
        <w:rPr>
          <w:rFonts w:ascii="Palatino Linotype" w:hAnsi="Palatino Linotype"/>
          <w:sz w:val="24"/>
          <w:szCs w:val="24"/>
          <w:lang w:val="id-ID"/>
        </w:rPr>
        <w:t xml:space="preserve"> semakin tidak terlihat sebagai pengadilan tertinggi yang membawahi peradilan-peradilan lainnya. Dalam Pasal 106 Ayat (1) dikatakan bahwa </w:t>
      </w:r>
      <w:r w:rsidRPr="005D0B30">
        <w:rPr>
          <w:rFonts w:ascii="Palatino Linotype" w:hAnsi="Palatino Linotype"/>
          <w:i/>
          <w:sz w:val="24"/>
          <w:szCs w:val="24"/>
          <w:lang w:val="id-ID"/>
        </w:rPr>
        <w:t>Supreme Court</w:t>
      </w:r>
      <w:r w:rsidRPr="005D0B30">
        <w:rPr>
          <w:rFonts w:ascii="Palatino Linotype" w:hAnsi="Palatino Linotype"/>
          <w:sz w:val="24"/>
          <w:szCs w:val="24"/>
          <w:lang w:val="id-ID"/>
        </w:rPr>
        <w:t xml:space="preserve"> adalah pengadilan negara teringgi atas perbuatan pengadilan-pengadilan lain menurut aturan yang ditetapkan oleh undang-undang. Seperti halnya konstitusi RIS 1949 organ peradilan tinggi berada di bawah UUDS 1950 juga dapat berperan sebagai forum peradilan yang digunakan untuk mengadili pejabat-pejabat negara yang diduga melakukan kejahatan jabatan atau tindak kriminal yang sebagaimana ditentukan oleh undang-undang.</w:t>
      </w: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lang w:val="id-ID"/>
        </w:rPr>
        <w:lastRenderedPageBreak/>
        <w:t xml:space="preserve">Dalam perjalanannya, pada rapat Pleno tahun 1975 terdapat agenda tentang materi yang dapat dimasukan ke dalam UUD. Meskipun pada Pasal 95 Ayat (2) UUDS 1950 menyatakan bahwa undang-undang tidak dapat diganggu gugat, dengan demikian melarang uji materil atas undang-undang yang dilakukan oleh badan peradilan. Tetapi ketika Soeprapto, sebagaimana dikutif oleh Adnan Buyung mengusulkan agar dimasukan ke dalam UUD baru sebuah pasal yang menyatakan bahwa pasal yang tidak bertentangan tidak dapat diganggu gugat. </w:t>
      </w: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lang w:val="id-ID"/>
        </w:rPr>
        <w:t xml:space="preserve">Hal ini untuk memudahkan Mahkamah Agung Indonesia untuk melakukan hal yang serupa seperti </w:t>
      </w:r>
      <w:r w:rsidRPr="005D0B30">
        <w:rPr>
          <w:rFonts w:ascii="Palatino Linotype" w:hAnsi="Palatino Linotype"/>
          <w:i/>
          <w:sz w:val="24"/>
          <w:szCs w:val="24"/>
          <w:lang w:val="id-ID"/>
        </w:rPr>
        <w:t>Supreme Court</w:t>
      </w:r>
      <w:r w:rsidRPr="005D0B30">
        <w:rPr>
          <w:rFonts w:ascii="Palatino Linotype" w:hAnsi="Palatino Linotype"/>
          <w:sz w:val="24"/>
          <w:szCs w:val="24"/>
          <w:lang w:val="id-ID"/>
        </w:rPr>
        <w:t xml:space="preserve"> di Amerika Serikat. Sehingga menjadi lembaga negara yang mengambil keputusan menyangkut sifat konstitusional perundang-undangan.</w:t>
      </w:r>
      <w:r w:rsidRPr="005D0B30">
        <w:rPr>
          <w:rStyle w:val="FootnoteReference"/>
          <w:rFonts w:ascii="Palatino Linotype" w:hAnsi="Palatino Linotype"/>
          <w:sz w:val="24"/>
          <w:szCs w:val="24"/>
          <w:lang w:val="id-ID"/>
        </w:rPr>
        <w:footnoteReference w:id="47"/>
      </w:r>
      <w:r w:rsidRPr="005D0B30">
        <w:rPr>
          <w:rFonts w:ascii="Palatino Linotype" w:hAnsi="Palatino Linotype"/>
          <w:sz w:val="24"/>
          <w:szCs w:val="24"/>
          <w:lang w:val="id-ID"/>
        </w:rPr>
        <w:t xml:space="preserve"> Hak uji materil sendiri pada dasarnya dapat diberikan kepada siapa saja asalkan ada kententuan dalam konstitusi. Maka dapat diberikan pada:</w:t>
      </w:r>
    </w:p>
    <w:p w:rsidR="005D0B30" w:rsidRPr="005D0B30" w:rsidRDefault="005D0B30" w:rsidP="005D0B30">
      <w:pPr>
        <w:pStyle w:val="ListParagraph"/>
        <w:numPr>
          <w:ilvl w:val="0"/>
          <w:numId w:val="8"/>
        </w:numPr>
        <w:tabs>
          <w:tab w:val="clear" w:pos="720"/>
        </w:tabs>
        <w:spacing w:after="0" w:line="240" w:lineRule="auto"/>
        <w:ind w:left="284" w:hanging="284"/>
        <w:jc w:val="both"/>
        <w:rPr>
          <w:rFonts w:ascii="Palatino Linotype" w:hAnsi="Palatino Linotype"/>
          <w:lang w:val="id-ID"/>
        </w:rPr>
      </w:pPr>
      <w:r w:rsidRPr="005D0B30">
        <w:rPr>
          <w:rFonts w:ascii="Palatino Linotype" w:hAnsi="Palatino Linotype"/>
          <w:lang w:val="id-ID"/>
        </w:rPr>
        <w:t>Parlement (</w:t>
      </w:r>
      <w:r w:rsidRPr="005D0B30">
        <w:rPr>
          <w:rFonts w:ascii="Palatino Linotype" w:hAnsi="Palatino Linotype"/>
          <w:i/>
          <w:lang w:val="id-ID"/>
        </w:rPr>
        <w:t>Supreme Parlement</w:t>
      </w:r>
      <w:r w:rsidRPr="005D0B30">
        <w:rPr>
          <w:rFonts w:ascii="Palatino Linotype" w:hAnsi="Palatino Linotype"/>
          <w:lang w:val="id-ID"/>
        </w:rPr>
        <w:t>);</w:t>
      </w:r>
    </w:p>
    <w:p w:rsidR="005D0B30" w:rsidRPr="005D0B30" w:rsidRDefault="005D0B30" w:rsidP="005D0B30">
      <w:pPr>
        <w:pStyle w:val="ListParagraph"/>
        <w:numPr>
          <w:ilvl w:val="0"/>
          <w:numId w:val="8"/>
        </w:numPr>
        <w:tabs>
          <w:tab w:val="clear" w:pos="720"/>
        </w:tabs>
        <w:spacing w:after="0" w:line="240" w:lineRule="auto"/>
        <w:ind w:left="284" w:hanging="284"/>
        <w:jc w:val="both"/>
        <w:rPr>
          <w:rFonts w:ascii="Palatino Linotype" w:hAnsi="Palatino Linotype"/>
          <w:lang w:val="id-ID"/>
        </w:rPr>
      </w:pPr>
      <w:r w:rsidRPr="005D0B30">
        <w:rPr>
          <w:rFonts w:ascii="Palatino Linotype" w:hAnsi="Palatino Linotype"/>
          <w:lang w:val="id-ID"/>
        </w:rPr>
        <w:t>Mahkamah Agung (</w:t>
      </w:r>
      <w:r w:rsidRPr="005D0B30">
        <w:rPr>
          <w:rFonts w:ascii="Palatino Linotype" w:hAnsi="Palatino Linotype"/>
          <w:i/>
          <w:lang w:val="id-ID"/>
        </w:rPr>
        <w:t>Supreme Court</w:t>
      </w:r>
      <w:r w:rsidRPr="005D0B30">
        <w:rPr>
          <w:rFonts w:ascii="Palatino Linotype" w:hAnsi="Palatino Linotype"/>
          <w:lang w:val="id-ID"/>
        </w:rPr>
        <w:t>);</w:t>
      </w:r>
    </w:p>
    <w:p w:rsidR="005D0B30" w:rsidRPr="005D0B30" w:rsidRDefault="005D0B30" w:rsidP="005D0B30">
      <w:pPr>
        <w:pStyle w:val="ListParagraph"/>
        <w:numPr>
          <w:ilvl w:val="0"/>
          <w:numId w:val="8"/>
        </w:numPr>
        <w:tabs>
          <w:tab w:val="clear" w:pos="720"/>
        </w:tabs>
        <w:spacing w:after="0" w:line="240" w:lineRule="auto"/>
        <w:ind w:left="284" w:hanging="284"/>
        <w:jc w:val="both"/>
        <w:rPr>
          <w:rFonts w:ascii="Palatino Linotype" w:hAnsi="Palatino Linotype"/>
          <w:lang w:val="id-ID"/>
        </w:rPr>
      </w:pPr>
      <w:r w:rsidRPr="005D0B30">
        <w:rPr>
          <w:rFonts w:ascii="Palatino Linotype" w:hAnsi="Palatino Linotype"/>
          <w:lang w:val="id-ID"/>
        </w:rPr>
        <w:t>Pengadilan Konstitusi (</w:t>
      </w:r>
      <w:r w:rsidRPr="005D0B30">
        <w:rPr>
          <w:rFonts w:ascii="Palatino Linotype" w:hAnsi="Palatino Linotype"/>
          <w:i/>
          <w:lang w:val="id-ID"/>
        </w:rPr>
        <w:t>Supreme Contitutional Court</w:t>
      </w:r>
      <w:r w:rsidRPr="005D0B30">
        <w:rPr>
          <w:rFonts w:ascii="Palatino Linotype" w:hAnsi="Palatino Linotype"/>
          <w:lang w:val="id-ID"/>
        </w:rPr>
        <w:t>);</w:t>
      </w:r>
    </w:p>
    <w:p w:rsidR="005D0B30" w:rsidRPr="005D0B30" w:rsidRDefault="005D0B30" w:rsidP="005D0B30">
      <w:pPr>
        <w:pStyle w:val="ListParagraph"/>
        <w:numPr>
          <w:ilvl w:val="0"/>
          <w:numId w:val="8"/>
        </w:numPr>
        <w:tabs>
          <w:tab w:val="clear" w:pos="720"/>
        </w:tabs>
        <w:spacing w:after="0" w:line="240" w:lineRule="auto"/>
        <w:ind w:left="284" w:hanging="284"/>
        <w:jc w:val="both"/>
        <w:rPr>
          <w:rFonts w:ascii="Palatino Linotype" w:hAnsi="Palatino Linotype"/>
          <w:lang w:val="id-ID"/>
        </w:rPr>
      </w:pPr>
      <w:r w:rsidRPr="005D0B30">
        <w:rPr>
          <w:rFonts w:ascii="Palatino Linotype" w:hAnsi="Palatino Linotype"/>
          <w:lang w:val="id-ID"/>
        </w:rPr>
        <w:t>Eksekutif (</w:t>
      </w:r>
      <w:r w:rsidRPr="005D0B30">
        <w:rPr>
          <w:rFonts w:ascii="Palatino Linotype" w:hAnsi="Palatino Linotype"/>
          <w:i/>
          <w:lang w:val="id-ID"/>
        </w:rPr>
        <w:t>Supreme Executive</w:t>
      </w:r>
      <w:r w:rsidRPr="005D0B30">
        <w:rPr>
          <w:rFonts w:ascii="Palatino Linotype" w:hAnsi="Palatino Linotype"/>
          <w:lang w:val="id-ID"/>
        </w:rPr>
        <w:t>).</w:t>
      </w:r>
    </w:p>
    <w:p w:rsidR="005D0B30" w:rsidRPr="005D0B30" w:rsidRDefault="005D0B30" w:rsidP="005D0B30">
      <w:pPr>
        <w:spacing w:after="0" w:line="240" w:lineRule="auto"/>
        <w:jc w:val="both"/>
        <w:rPr>
          <w:rFonts w:ascii="Palatino Linotype" w:hAnsi="Palatino Linotype"/>
          <w:sz w:val="24"/>
          <w:szCs w:val="24"/>
        </w:rPr>
      </w:pP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lang w:val="id-ID"/>
        </w:rPr>
        <w:t xml:space="preserve">Gejala-gejala awal dapat diperlihatkan melalui pemikiran yang berkembang dalam sidang konstituante yang mulai menampakan diri pada tahun 1957. Hak </w:t>
      </w:r>
      <w:r w:rsidRPr="005D0B30">
        <w:rPr>
          <w:rFonts w:ascii="Palatino Linotype" w:hAnsi="Palatino Linotype"/>
          <w:i/>
          <w:sz w:val="24"/>
          <w:szCs w:val="24"/>
          <w:lang w:val="id-ID"/>
        </w:rPr>
        <w:t>Supreme Court</w:t>
      </w:r>
      <w:r w:rsidRPr="005D0B30">
        <w:rPr>
          <w:rFonts w:ascii="Palatino Linotype" w:hAnsi="Palatino Linotype"/>
          <w:sz w:val="24"/>
          <w:szCs w:val="24"/>
          <w:lang w:val="id-ID"/>
        </w:rPr>
        <w:t xml:space="preserve"> untuk membatalkan produk hukum, di satu sisi memang memperlihatkan adanya pelanggaran terhadap prinsip trikotomi pemisahan kekuasan, dan hak-hak lembaga negara lain dalam menentukan arah kebijaksanaan negara yang dipandang konstitusional.</w:t>
      </w:r>
      <w:r w:rsidRPr="005D0B30">
        <w:rPr>
          <w:rStyle w:val="FootnoteReference"/>
          <w:rFonts w:ascii="Palatino Linotype" w:hAnsi="Palatino Linotype"/>
          <w:sz w:val="24"/>
          <w:szCs w:val="24"/>
          <w:lang w:val="id-ID"/>
        </w:rPr>
        <w:footnoteReference w:id="48"/>
      </w:r>
      <w:r w:rsidRPr="005D0B30">
        <w:rPr>
          <w:rFonts w:ascii="Palatino Linotype" w:hAnsi="Palatino Linotype"/>
          <w:sz w:val="24"/>
          <w:szCs w:val="24"/>
          <w:lang w:val="id-ID"/>
        </w:rPr>
        <w:t xml:space="preserve"> Tetapi di sisi lain, pengawasan hukum oleh kekuasaan yudikatif sebenarnya adalah upaya untuk menwujudkan penerapan hukum yang tidak memihak. Sebab, dalam konstitusi terdapat pembatasan atas penggunaan kekuasaan legislatif. Karena itu kewenangan yudikatif untuk menyatakan konstitusionalitas perundang-undangan sebaiknya dipandang sebagai akibat adanya potensi pelanggaran batas-batas kekuasaan negara yang mungkin saja dilakukan oleh legislator atau cabang kekuasaan lainnya.</w:t>
      </w:r>
      <w:r w:rsidRPr="005D0B30">
        <w:rPr>
          <w:rStyle w:val="FootnoteReference"/>
          <w:rFonts w:ascii="Palatino Linotype" w:hAnsi="Palatino Linotype"/>
          <w:sz w:val="24"/>
          <w:szCs w:val="24"/>
          <w:lang w:val="id-ID"/>
        </w:rPr>
        <w:footnoteReference w:id="49"/>
      </w: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lang w:val="id-ID"/>
        </w:rPr>
        <w:t xml:space="preserve">Saat ini membicarakan kewenangan yudikatif dalam kedudukannya yang netral, suatu keniscayaan pemahaman akan yudikatif menjadi subjek hukum tata negara berada dalam urutan yang pertama. Karena itu arsitektur hukum yang dibangun di Amerika Serikat mengasumsikan </w:t>
      </w:r>
      <w:r w:rsidRPr="005D0B30">
        <w:rPr>
          <w:rFonts w:ascii="Palatino Linotype" w:hAnsi="Palatino Linotype"/>
          <w:i/>
          <w:sz w:val="24"/>
          <w:szCs w:val="24"/>
          <w:lang w:val="id-ID"/>
        </w:rPr>
        <w:t>judicial review</w:t>
      </w:r>
      <w:r w:rsidRPr="005D0B30">
        <w:rPr>
          <w:rFonts w:ascii="Palatino Linotype" w:hAnsi="Palatino Linotype"/>
          <w:sz w:val="24"/>
          <w:szCs w:val="24"/>
          <w:lang w:val="id-ID"/>
        </w:rPr>
        <w:t xml:space="preserve"> antara lain adalah untuk membatasi kekuasaan mayoritas atas kekuasaan minoritas. Dengan demikian negara yang demokratis adalah negara yang mendorong dan melakukan pengawasan terhadap legislator dan administratur dalam melaksanakan  tugasnya. Pengawasan secara yuridis sendiri dilakukan untuk mengendalikan jalannya pemerintahan dan aturan hukum yang berlaku.</w:t>
      </w: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lang w:val="id-ID"/>
        </w:rPr>
        <w:lastRenderedPageBreak/>
        <w:t>Sekitar tahun 1980-an ide untuk menguji perundang-undangan marak, sehingga PERADIN beberapa kali merumuskan ide dan mengusulkan agar Mahkamah Agung memiliki kewenangan untuk menguji undang-undang.</w:t>
      </w:r>
      <w:r w:rsidRPr="005D0B30">
        <w:rPr>
          <w:rStyle w:val="FootnoteReference"/>
          <w:rFonts w:ascii="Palatino Linotype" w:hAnsi="Palatino Linotype"/>
          <w:sz w:val="24"/>
          <w:szCs w:val="24"/>
          <w:lang w:val="id-ID"/>
        </w:rPr>
        <w:footnoteReference w:id="50"/>
      </w:r>
      <w:r w:rsidRPr="005D0B30">
        <w:rPr>
          <w:rFonts w:ascii="Palatino Linotype" w:hAnsi="Palatino Linotype"/>
          <w:sz w:val="24"/>
          <w:szCs w:val="24"/>
          <w:lang w:val="id-ID"/>
        </w:rPr>
        <w:t xml:space="preserve"> Bukan ide untuk membentuk lembaga baru, tetapi menambahkan kewenangan Mahkamah Agung. Sejak tahun 1999, tahun 2000 diskursus tersebut semakin meluas, walaupun masih banyak yang terkesan takut untuk membentuk lembaga baru tersebut, akhirnya lahirlah lembaga negara yang dinamakan Mahkamah Konstitusi pada tanggal 13 Agustus 2003 yang bertugas menjaga konstitusi. </w:t>
      </w:r>
    </w:p>
    <w:p w:rsidR="005D0B30" w:rsidRPr="005D0B30" w:rsidRDefault="005D0B30" w:rsidP="005D0B30">
      <w:pPr>
        <w:spacing w:after="0" w:line="240" w:lineRule="auto"/>
        <w:ind w:firstLine="567"/>
        <w:jc w:val="both"/>
        <w:rPr>
          <w:rFonts w:ascii="Palatino Linotype" w:hAnsi="Palatino Linotype"/>
          <w:sz w:val="24"/>
          <w:szCs w:val="24"/>
        </w:rPr>
      </w:pPr>
      <w:r w:rsidRPr="005D0B30">
        <w:rPr>
          <w:rFonts w:ascii="Palatino Linotype" w:hAnsi="Palatino Linotype"/>
          <w:sz w:val="24"/>
          <w:szCs w:val="24"/>
          <w:lang w:val="id-ID"/>
        </w:rPr>
        <w:t xml:space="preserve">Pemikiran politik hukum yang menginginkan adanya pengawalan konstitusi dan peraturan perundang-undangan pada akhirnya diwujudkan dalam Mahkamah Konstitusi dan Mahkamah Agung. Walaupun Mahkamah Agung merupakan lembaga yudikatif lama namun pemikiran pengawalan terhadap peraturan perundang-undangan di bawah undang-undang baru dapat direalisasikan secara tegas setelah reformasi. Wujud yang demikian inilah yang sering dinamakan dengan </w:t>
      </w:r>
      <w:r w:rsidRPr="005D0B30">
        <w:rPr>
          <w:rFonts w:ascii="Palatino Linotype" w:hAnsi="Palatino Linotype"/>
          <w:i/>
          <w:sz w:val="24"/>
          <w:szCs w:val="24"/>
          <w:lang w:val="id-ID"/>
        </w:rPr>
        <w:t>dual yuridiction</w:t>
      </w:r>
      <w:r w:rsidRPr="005D0B30">
        <w:rPr>
          <w:rFonts w:ascii="Palatino Linotype" w:hAnsi="Palatino Linotype"/>
          <w:sz w:val="24"/>
          <w:szCs w:val="24"/>
          <w:lang w:val="id-ID"/>
        </w:rPr>
        <w:t xml:space="preserve"> lembaga yudikatif. Kewenangan yang diberikan kepada kedua lembaga yudikatif merupakan bentuk nyata perwujudan dari kemenangan kekuasaan hukum terhadap kekuasaan negara di Indonesia. Pada akhirnya ide menjadikan hukum sebagai panglima di Indonesia semakin mendekati titik terang melalui pengujian produk perturan perundang-undangan yang dianggap bertentangan dan merugikan rakyat.</w:t>
      </w:r>
    </w:p>
    <w:p w:rsidR="005D0B30" w:rsidRDefault="005D0B30" w:rsidP="005D0B30">
      <w:pPr>
        <w:spacing w:after="0" w:line="240" w:lineRule="auto"/>
        <w:jc w:val="both"/>
        <w:rPr>
          <w:rFonts w:ascii="Palatino Linotype" w:hAnsi="Palatino Linotype"/>
          <w:b/>
          <w:sz w:val="24"/>
          <w:szCs w:val="24"/>
        </w:rPr>
      </w:pPr>
    </w:p>
    <w:p w:rsidR="005D0B30" w:rsidRPr="005D0B30" w:rsidRDefault="005D0B30" w:rsidP="005D0B30">
      <w:pPr>
        <w:pStyle w:val="ListParagraph"/>
        <w:numPr>
          <w:ilvl w:val="0"/>
          <w:numId w:val="4"/>
        </w:numPr>
        <w:spacing w:after="0" w:line="240" w:lineRule="auto"/>
        <w:ind w:left="284" w:hanging="284"/>
        <w:jc w:val="both"/>
        <w:rPr>
          <w:rFonts w:ascii="Palatino Linotype" w:hAnsi="Palatino Linotype"/>
          <w:b/>
          <w:sz w:val="24"/>
          <w:szCs w:val="24"/>
        </w:rPr>
      </w:pPr>
      <w:r w:rsidRPr="005D0B30">
        <w:rPr>
          <w:rFonts w:ascii="Palatino Linotype" w:hAnsi="Palatino Linotype"/>
          <w:b/>
          <w:sz w:val="24"/>
          <w:szCs w:val="24"/>
        </w:rPr>
        <w:t>KESIMPULAN</w:t>
      </w:r>
    </w:p>
    <w:p w:rsidR="005D0B30" w:rsidRPr="005D0B30" w:rsidRDefault="005D0B30" w:rsidP="005D0B30">
      <w:pPr>
        <w:tabs>
          <w:tab w:val="left" w:pos="1080"/>
        </w:tabs>
        <w:spacing w:after="0" w:line="240" w:lineRule="auto"/>
        <w:ind w:firstLine="567"/>
        <w:jc w:val="both"/>
        <w:rPr>
          <w:rFonts w:ascii="Palatino Linotype" w:hAnsi="Palatino Linotype"/>
          <w:sz w:val="24"/>
          <w:szCs w:val="24"/>
        </w:rPr>
      </w:pPr>
      <w:r w:rsidRPr="005D0B30">
        <w:rPr>
          <w:rFonts w:ascii="Palatino Linotype" w:hAnsi="Palatino Linotype"/>
          <w:sz w:val="24"/>
          <w:szCs w:val="24"/>
        </w:rPr>
        <w:t>Ketatanegaraan</w:t>
      </w:r>
      <w:r w:rsidRPr="005D0B30">
        <w:rPr>
          <w:rFonts w:ascii="Palatino Linotype" w:hAnsi="Palatino Linotype"/>
          <w:sz w:val="24"/>
          <w:szCs w:val="24"/>
          <w:lang w:val="id-ID"/>
        </w:rPr>
        <w:t xml:space="preserve"> Indonesia selalu ada fakta berbalik arah, artinya sesuatu yang mesti dilaksanakan serta merta menjadi batal dengan sendirinya karena konstitusi tidak mengaturnya, kemauan politik bergantung pada situasi dan kondisi yang menjadi komitmen di antara para politikus. Jadi apapun yang dianggap tidak bisa menjadi bisa walaupun bertentangan dengan hukum begitu juga dengan lahirnya </w:t>
      </w:r>
      <w:r w:rsidRPr="005D0B30">
        <w:rPr>
          <w:rFonts w:ascii="Palatino Linotype" w:hAnsi="Palatino Linotype"/>
          <w:i/>
          <w:sz w:val="24"/>
          <w:szCs w:val="24"/>
          <w:lang w:val="id-ID"/>
        </w:rPr>
        <w:t>dual yuridiction</w:t>
      </w:r>
      <w:r w:rsidRPr="005D0B30">
        <w:rPr>
          <w:rFonts w:ascii="Palatino Linotype" w:hAnsi="Palatino Linotype"/>
          <w:sz w:val="24"/>
          <w:szCs w:val="24"/>
          <w:lang w:val="id-ID"/>
        </w:rPr>
        <w:t xml:space="preserve"> lembaga yudikatif Indonesia. </w:t>
      </w:r>
      <w:r w:rsidRPr="005D0B30">
        <w:rPr>
          <w:rFonts w:ascii="Palatino Linotype" w:hAnsi="Palatino Linotype"/>
          <w:i/>
          <w:sz w:val="24"/>
          <w:szCs w:val="24"/>
          <w:lang w:val="id-ID"/>
        </w:rPr>
        <w:t>Supreme Court</w:t>
      </w:r>
      <w:r w:rsidRPr="005D0B30">
        <w:rPr>
          <w:rFonts w:ascii="Palatino Linotype" w:hAnsi="Palatino Linotype"/>
          <w:sz w:val="24"/>
          <w:szCs w:val="24"/>
          <w:lang w:val="id-ID"/>
        </w:rPr>
        <w:t xml:space="preserve"> Indonesia berada dalam puncak piramida umum. Maksudnya organ ini memutus perkara perdata, pidana dan TUN pada tingkat kasasi dan sebagai forum peninjuan kembali terhadap perkara yang telah memiliki kekuatan hukum tetap. Karena itu, </w:t>
      </w:r>
      <w:r w:rsidRPr="005D0B30">
        <w:rPr>
          <w:rFonts w:ascii="Palatino Linotype" w:hAnsi="Palatino Linotype"/>
          <w:i/>
          <w:sz w:val="24"/>
          <w:szCs w:val="24"/>
          <w:lang w:val="id-ID"/>
        </w:rPr>
        <w:t>Supreme Court</w:t>
      </w:r>
      <w:r w:rsidRPr="005D0B30">
        <w:rPr>
          <w:rFonts w:ascii="Palatino Linotype" w:hAnsi="Palatino Linotype"/>
          <w:sz w:val="24"/>
          <w:szCs w:val="24"/>
          <w:lang w:val="id-ID"/>
        </w:rPr>
        <w:t xml:space="preserve"> berkaitan dengan keadilan warga negara. Sedangkan </w:t>
      </w:r>
      <w:r w:rsidRPr="005D0B30">
        <w:rPr>
          <w:rFonts w:ascii="Palatino Linotype" w:hAnsi="Palatino Linotype"/>
          <w:i/>
          <w:sz w:val="24"/>
          <w:szCs w:val="24"/>
          <w:lang w:val="id-ID"/>
        </w:rPr>
        <w:t>Contitutional Court</w:t>
      </w:r>
      <w:r w:rsidRPr="005D0B30">
        <w:rPr>
          <w:rFonts w:ascii="Palatino Linotype" w:hAnsi="Palatino Linotype"/>
          <w:sz w:val="24"/>
          <w:szCs w:val="24"/>
          <w:lang w:val="id-ID"/>
        </w:rPr>
        <w:t xml:space="preserve"> berwenang mengadili pada tingkat pertama dan terakhir yang putusannya bersifat final yang berkaitan dengan pengujian undang-undang terhadap UUD, sengketa lembaga negara, memutus sengketa pemilu, pembubaran partai politik dan </w:t>
      </w:r>
      <w:r w:rsidRPr="005D0B30">
        <w:rPr>
          <w:rFonts w:ascii="Palatino Linotype" w:hAnsi="Palatino Linotype"/>
          <w:i/>
          <w:sz w:val="24"/>
          <w:szCs w:val="24"/>
          <w:lang w:val="id-ID"/>
        </w:rPr>
        <w:t>impeacment</w:t>
      </w:r>
      <w:r w:rsidRPr="005D0B30">
        <w:rPr>
          <w:rFonts w:ascii="Palatino Linotype" w:hAnsi="Palatino Linotype"/>
          <w:sz w:val="24"/>
          <w:szCs w:val="24"/>
          <w:lang w:val="id-ID"/>
        </w:rPr>
        <w:t xml:space="preserve"> presiden. Maka, dengan lahirnya Mahkamah Konstitusi akhirnya bentuk piramida tertinggi kekuasaan yudikatif dapat dinamakan </w:t>
      </w:r>
      <w:r w:rsidRPr="005D0B30">
        <w:rPr>
          <w:rFonts w:ascii="Palatino Linotype" w:hAnsi="Palatino Linotype"/>
          <w:i/>
          <w:sz w:val="24"/>
          <w:szCs w:val="24"/>
          <w:lang w:val="id-ID"/>
        </w:rPr>
        <w:t>dual yuridiction</w:t>
      </w:r>
      <w:r w:rsidRPr="005D0B30">
        <w:rPr>
          <w:rFonts w:ascii="Palatino Linotype" w:hAnsi="Palatino Linotype"/>
          <w:sz w:val="24"/>
          <w:szCs w:val="24"/>
          <w:lang w:val="id-ID"/>
        </w:rPr>
        <w:t>, yang maksudnya yudikatif memiliki dua lembaga dan kewenangan yang berbeda namun pada prinsipnya untuk menegakan hukum di Indonesia dalam rangka pencapaian supermasi hukum.</w:t>
      </w:r>
      <w:r w:rsidRPr="005D0B30">
        <w:rPr>
          <w:rFonts w:ascii="Palatino Linotype" w:hAnsi="Palatino Linotype"/>
          <w:sz w:val="24"/>
          <w:szCs w:val="24"/>
        </w:rPr>
        <w:t xml:space="preserve"> Indonesia memiliki Mahkamah Konstitusi sebagaimana yang </w:t>
      </w:r>
      <w:r w:rsidRPr="005D0B30">
        <w:rPr>
          <w:rFonts w:ascii="Palatino Linotype" w:hAnsi="Palatino Linotype"/>
          <w:sz w:val="24"/>
          <w:szCs w:val="24"/>
        </w:rPr>
        <w:lastRenderedPageBreak/>
        <w:t xml:space="preserve">dimaksudkan dalam </w:t>
      </w:r>
      <w:r w:rsidRPr="005D0B30">
        <w:rPr>
          <w:rFonts w:ascii="Palatino Linotype" w:hAnsi="Palatino Linotype"/>
          <w:i/>
          <w:sz w:val="24"/>
          <w:szCs w:val="24"/>
        </w:rPr>
        <w:t>A Model Islamic Contitution</w:t>
      </w:r>
      <w:r w:rsidRPr="005D0B30">
        <w:rPr>
          <w:rFonts w:ascii="Palatino Linotype" w:hAnsi="Palatino Linotype"/>
          <w:sz w:val="24"/>
          <w:szCs w:val="24"/>
        </w:rPr>
        <w:t xml:space="preserve">. </w:t>
      </w:r>
      <w:r w:rsidRPr="005D0B30">
        <w:rPr>
          <w:rFonts w:ascii="Palatino Linotype" w:hAnsi="Palatino Linotype"/>
          <w:sz w:val="24"/>
          <w:szCs w:val="24"/>
          <w:lang w:val="id-ID"/>
        </w:rPr>
        <w:t xml:space="preserve">Selain itu, jika kedua lembaga tersebut bersengketa dalam perjalanannya maka langkah yang diambil untuk menyelesaikannya sebaiknya menggunakan cara </w:t>
      </w:r>
      <w:r w:rsidRPr="005D0B30">
        <w:rPr>
          <w:rFonts w:ascii="Palatino Linotype" w:hAnsi="Palatino Linotype"/>
          <w:i/>
          <w:sz w:val="24"/>
          <w:szCs w:val="24"/>
          <w:lang w:val="id-ID"/>
        </w:rPr>
        <w:t>triadic dispute resolutian</w:t>
      </w:r>
      <w:r w:rsidRPr="005D0B30">
        <w:rPr>
          <w:rFonts w:ascii="Palatino Linotype" w:hAnsi="Palatino Linotype"/>
          <w:sz w:val="24"/>
          <w:szCs w:val="24"/>
          <w:lang w:val="id-ID"/>
        </w:rPr>
        <w:t xml:space="preserve"> antar lembaga.</w:t>
      </w:r>
      <w:r w:rsidRPr="005D0B30">
        <w:rPr>
          <w:rFonts w:ascii="Palatino Linotype" w:hAnsi="Palatino Linotype"/>
          <w:sz w:val="24"/>
          <w:szCs w:val="24"/>
        </w:rPr>
        <w:t xml:space="preserve"> Di dunia ini ada negara yang memasukan uji materil terhadap konstitusi yang dipegang oleh lembaga yudikatif dan ada negara yang menggunakan dewan. Tapi keduanya memiliki tujuan sama yakni untuk menegakan konstitusi sebagai negara hukum. </w:t>
      </w:r>
      <w:r w:rsidRPr="005D0B30">
        <w:rPr>
          <w:rFonts w:ascii="Palatino Linotype" w:hAnsi="Palatino Linotype"/>
          <w:i/>
          <w:sz w:val="24"/>
          <w:szCs w:val="24"/>
        </w:rPr>
        <w:t>A Model Islamic Contitution</w:t>
      </w:r>
      <w:r w:rsidRPr="005D0B30">
        <w:rPr>
          <w:rFonts w:ascii="Palatino Linotype" w:hAnsi="Palatino Linotype"/>
          <w:sz w:val="24"/>
          <w:szCs w:val="24"/>
        </w:rPr>
        <w:t xml:space="preserve"> yang berkaitan dengan dewan konstitusi apabila ingin diterapkan di Indonesia, secara utuh masih mengalami kesulitan yang berkaitan dengan sumber daya manusia Indonesia itu sendiri.</w:t>
      </w:r>
    </w:p>
    <w:p w:rsidR="005D0B30" w:rsidRPr="005D0B30" w:rsidRDefault="005D0B30" w:rsidP="005D0B30">
      <w:pPr>
        <w:pStyle w:val="FootnoteText"/>
        <w:rPr>
          <w:rFonts w:ascii="Palatino Linotype" w:hAnsi="Palatino Linotype"/>
          <w:b/>
          <w:sz w:val="24"/>
          <w:szCs w:val="24"/>
        </w:rPr>
      </w:pPr>
    </w:p>
    <w:p w:rsidR="005D0B30" w:rsidRPr="005D0B30" w:rsidRDefault="005D0B30" w:rsidP="005D0B30">
      <w:pPr>
        <w:numPr>
          <w:ilvl w:val="0"/>
          <w:numId w:val="4"/>
        </w:numPr>
        <w:spacing w:after="0" w:line="240" w:lineRule="auto"/>
        <w:ind w:left="567" w:hanging="567"/>
        <w:jc w:val="both"/>
        <w:rPr>
          <w:rFonts w:ascii="Palatino Linotype" w:hAnsi="Palatino Linotype"/>
          <w:b/>
          <w:sz w:val="24"/>
          <w:szCs w:val="24"/>
        </w:rPr>
      </w:pPr>
      <w:r w:rsidRPr="005D0B30">
        <w:rPr>
          <w:rFonts w:ascii="Palatino Linotype" w:hAnsi="Palatino Linotype"/>
          <w:b/>
          <w:sz w:val="24"/>
          <w:szCs w:val="24"/>
        </w:rPr>
        <w:t>DAFTAR PUSTAKA</w:t>
      </w:r>
    </w:p>
    <w:p w:rsidR="005D0B30" w:rsidRPr="005D0B30" w:rsidRDefault="005D0B30" w:rsidP="005D0B30">
      <w:pPr>
        <w:pStyle w:val="FootnoteText"/>
        <w:ind w:left="900" w:hanging="900"/>
        <w:jc w:val="both"/>
        <w:rPr>
          <w:rFonts w:ascii="Palatino Linotype" w:hAnsi="Palatino Linotype"/>
          <w:sz w:val="24"/>
          <w:szCs w:val="24"/>
        </w:rPr>
      </w:pPr>
    </w:p>
    <w:p w:rsidR="005D0B30" w:rsidRPr="005D0B30" w:rsidRDefault="005D0B30" w:rsidP="005D0B30">
      <w:pPr>
        <w:pStyle w:val="FootnoteText"/>
        <w:ind w:left="900" w:hanging="900"/>
        <w:jc w:val="both"/>
        <w:rPr>
          <w:rFonts w:ascii="Palatino Linotype" w:hAnsi="Palatino Linotype"/>
          <w:sz w:val="24"/>
          <w:szCs w:val="24"/>
        </w:rPr>
      </w:pPr>
      <w:r w:rsidRPr="005D0B30">
        <w:rPr>
          <w:rFonts w:ascii="Palatino Linotype" w:hAnsi="Palatino Linotype"/>
          <w:sz w:val="24"/>
          <w:szCs w:val="24"/>
          <w:lang w:val="id-ID"/>
        </w:rPr>
        <w:t xml:space="preserve">Asshiddiqie Jimly, 2005, </w:t>
      </w:r>
      <w:r w:rsidRPr="005D0B30">
        <w:rPr>
          <w:rFonts w:ascii="Palatino Linotype" w:hAnsi="Palatino Linotype"/>
          <w:i/>
          <w:sz w:val="24"/>
          <w:szCs w:val="24"/>
          <w:lang w:val="id-ID"/>
        </w:rPr>
        <w:t>Format Kelembagaan Negara dan Pergeseran Dalam UUD 1945</w:t>
      </w:r>
      <w:r w:rsidRPr="005D0B30">
        <w:rPr>
          <w:rFonts w:ascii="Palatino Linotype" w:hAnsi="Palatino Linotype"/>
          <w:sz w:val="24"/>
          <w:szCs w:val="24"/>
          <w:lang w:val="id-ID"/>
        </w:rPr>
        <w:t>, Fakultas Hukum Universitas Islam Indonesia Press, Cet-2, Yogyakarta.</w:t>
      </w:r>
      <w:r w:rsidRPr="005D0B30">
        <w:rPr>
          <w:rFonts w:ascii="Palatino Linotype" w:hAnsi="Palatino Linotype"/>
          <w:sz w:val="24"/>
          <w:szCs w:val="24"/>
          <w:lang w:val="id-ID"/>
        </w:rPr>
        <w:tab/>
      </w:r>
    </w:p>
    <w:p w:rsidR="005D0B30" w:rsidRPr="005D0B30" w:rsidRDefault="005D0B30" w:rsidP="005D0B30">
      <w:pPr>
        <w:pStyle w:val="FootnoteText"/>
        <w:ind w:left="900" w:hanging="900"/>
        <w:jc w:val="both"/>
        <w:rPr>
          <w:rFonts w:ascii="Palatino Linotype" w:hAnsi="Palatino Linotype"/>
          <w:sz w:val="24"/>
          <w:szCs w:val="24"/>
          <w:lang w:val="id-ID"/>
        </w:rPr>
      </w:pPr>
      <w:r w:rsidRPr="005D0B30">
        <w:rPr>
          <w:rFonts w:ascii="Palatino Linotype" w:hAnsi="Palatino Linotype"/>
          <w:sz w:val="24"/>
          <w:szCs w:val="24"/>
          <w:lang w:val="id-ID"/>
        </w:rPr>
        <w:t xml:space="preserve">______________, 2005, </w:t>
      </w:r>
      <w:r w:rsidRPr="005D0B30">
        <w:rPr>
          <w:rFonts w:ascii="Palatino Linotype" w:hAnsi="Palatino Linotype"/>
          <w:i/>
          <w:sz w:val="24"/>
          <w:szCs w:val="24"/>
          <w:lang w:val="id-ID"/>
        </w:rPr>
        <w:t>Hukum Tata Negara dan Pilar-Pilar Demokrasi, Serpihan, Pemikiran Hukum, Media dan Hak Asasi Manusia</w:t>
      </w:r>
      <w:r w:rsidRPr="005D0B30">
        <w:rPr>
          <w:rFonts w:ascii="Palatino Linotype" w:hAnsi="Palatino Linotype"/>
          <w:sz w:val="24"/>
          <w:szCs w:val="24"/>
          <w:lang w:val="id-ID"/>
        </w:rPr>
        <w:t>, Konstitusi Press, Jakarta.</w:t>
      </w:r>
    </w:p>
    <w:p w:rsidR="005D0B30" w:rsidRPr="005D0B30" w:rsidRDefault="005D0B30" w:rsidP="005D0B30">
      <w:pPr>
        <w:pStyle w:val="FootnoteText"/>
        <w:ind w:left="900" w:hanging="900"/>
        <w:jc w:val="both"/>
        <w:rPr>
          <w:rFonts w:ascii="Palatino Linotype" w:hAnsi="Palatino Linotype"/>
          <w:sz w:val="24"/>
          <w:szCs w:val="24"/>
          <w:lang w:val="id-ID"/>
        </w:rPr>
      </w:pPr>
    </w:p>
    <w:p w:rsidR="005D0B30" w:rsidRPr="005D0B30" w:rsidRDefault="005D0B30" w:rsidP="005D0B30">
      <w:pPr>
        <w:pStyle w:val="FootnoteText"/>
        <w:ind w:left="900" w:hanging="900"/>
        <w:jc w:val="both"/>
        <w:rPr>
          <w:rFonts w:ascii="Palatino Linotype" w:hAnsi="Palatino Linotype"/>
          <w:sz w:val="24"/>
          <w:szCs w:val="24"/>
        </w:rPr>
      </w:pPr>
      <w:r w:rsidRPr="005D0B30">
        <w:rPr>
          <w:rFonts w:ascii="Palatino Linotype" w:hAnsi="Palatino Linotype"/>
          <w:sz w:val="24"/>
          <w:szCs w:val="24"/>
          <w:lang w:val="id-ID"/>
        </w:rPr>
        <w:t xml:space="preserve">______________, 2004, </w:t>
      </w:r>
      <w:r w:rsidRPr="005D0B30">
        <w:rPr>
          <w:rFonts w:ascii="Palatino Linotype" w:hAnsi="Palatino Linotype"/>
          <w:i/>
          <w:sz w:val="24"/>
          <w:szCs w:val="24"/>
          <w:lang w:val="id-ID"/>
        </w:rPr>
        <w:t>Menjaga Denyut Konstitusi Satu Tahun Mahkamah Konstitusi</w:t>
      </w:r>
      <w:r w:rsidRPr="005D0B30">
        <w:rPr>
          <w:rFonts w:ascii="Palatino Linotype" w:hAnsi="Palatino Linotype"/>
          <w:sz w:val="24"/>
          <w:szCs w:val="24"/>
          <w:lang w:val="id-ID"/>
        </w:rPr>
        <w:t>, Konspress, Jakarta.</w:t>
      </w:r>
    </w:p>
    <w:p w:rsidR="005D0B30" w:rsidRPr="005D0B30" w:rsidRDefault="005D0B30" w:rsidP="005D0B30">
      <w:pPr>
        <w:pStyle w:val="FootnoteText"/>
        <w:ind w:left="900" w:hanging="900"/>
        <w:jc w:val="both"/>
        <w:rPr>
          <w:rFonts w:ascii="Palatino Linotype" w:hAnsi="Palatino Linotype"/>
          <w:sz w:val="24"/>
          <w:szCs w:val="24"/>
        </w:rPr>
      </w:pPr>
      <w:r w:rsidRPr="005D0B30">
        <w:rPr>
          <w:rFonts w:ascii="Palatino Linotype" w:hAnsi="Palatino Linotype"/>
          <w:sz w:val="24"/>
          <w:szCs w:val="24"/>
        </w:rPr>
        <w:t xml:space="preserve">Ija Suntana, 2007, </w:t>
      </w:r>
      <w:r w:rsidRPr="005D0B30">
        <w:rPr>
          <w:rFonts w:ascii="Palatino Linotype" w:hAnsi="Palatino Linotype"/>
          <w:i/>
          <w:sz w:val="24"/>
          <w:szCs w:val="24"/>
        </w:rPr>
        <w:t xml:space="preserve">Model Kekuasaan Legislatif Dalam Sistem Ketatanegaraan Islam, </w:t>
      </w:r>
      <w:r w:rsidRPr="005D0B30">
        <w:rPr>
          <w:rFonts w:ascii="Palatino Linotype" w:hAnsi="Palatino Linotype"/>
          <w:sz w:val="24"/>
          <w:szCs w:val="24"/>
        </w:rPr>
        <w:t>Refika Aditama, Bandung.</w:t>
      </w:r>
    </w:p>
    <w:p w:rsidR="005D0B30" w:rsidRPr="005D0B30" w:rsidRDefault="005D0B30" w:rsidP="005D0B30">
      <w:pPr>
        <w:pStyle w:val="FootnoteText"/>
        <w:ind w:left="900" w:hanging="900"/>
        <w:jc w:val="both"/>
        <w:rPr>
          <w:rFonts w:ascii="Palatino Linotype" w:hAnsi="Palatino Linotype"/>
          <w:sz w:val="24"/>
          <w:szCs w:val="24"/>
        </w:rPr>
      </w:pPr>
      <w:r w:rsidRPr="005D0B30">
        <w:rPr>
          <w:rFonts w:ascii="Palatino Linotype" w:hAnsi="Palatino Linotype"/>
          <w:sz w:val="24"/>
          <w:szCs w:val="24"/>
          <w:lang w:val="id-ID"/>
        </w:rPr>
        <w:t xml:space="preserve">Buyung Nasution Adnan, 1995, </w:t>
      </w:r>
      <w:r w:rsidRPr="005D0B30">
        <w:rPr>
          <w:rFonts w:ascii="Palatino Linotype" w:hAnsi="Palatino Linotype"/>
          <w:i/>
          <w:sz w:val="24"/>
          <w:szCs w:val="24"/>
          <w:lang w:val="id-ID"/>
        </w:rPr>
        <w:t>Aspirasi Pemerintahan Konstitusional di Indonesia,</w:t>
      </w:r>
      <w:r w:rsidRPr="005D0B30">
        <w:rPr>
          <w:rFonts w:ascii="Palatino Linotype" w:hAnsi="Palatino Linotype"/>
          <w:sz w:val="24"/>
          <w:szCs w:val="24"/>
          <w:lang w:val="id-ID"/>
        </w:rPr>
        <w:t xml:space="preserve"> Graffiti, Jakarta.</w:t>
      </w:r>
    </w:p>
    <w:p w:rsidR="005D0B30" w:rsidRPr="005D0B30" w:rsidRDefault="005D0B30" w:rsidP="005D0B30">
      <w:pPr>
        <w:pStyle w:val="FootnoteText"/>
        <w:ind w:left="900" w:hanging="900"/>
        <w:jc w:val="both"/>
        <w:rPr>
          <w:rFonts w:ascii="Palatino Linotype" w:hAnsi="Palatino Linotype"/>
          <w:sz w:val="24"/>
          <w:szCs w:val="24"/>
        </w:rPr>
      </w:pPr>
      <w:r w:rsidRPr="005D0B30">
        <w:rPr>
          <w:rFonts w:ascii="Palatino Linotype" w:hAnsi="Palatino Linotype"/>
          <w:sz w:val="24"/>
          <w:szCs w:val="24"/>
          <w:lang w:val="id-ID"/>
        </w:rPr>
        <w:t>Daniel S. Lev,</w:t>
      </w:r>
      <w:r w:rsidRPr="005D0B30">
        <w:rPr>
          <w:rFonts w:ascii="Palatino Linotype" w:hAnsi="Palatino Linotype"/>
          <w:i/>
          <w:sz w:val="24"/>
          <w:szCs w:val="24"/>
          <w:lang w:val="id-ID"/>
        </w:rPr>
        <w:t xml:space="preserve"> Hukum dan Politik di Indonesia; Kesinambungan dan Perubahan,</w:t>
      </w:r>
      <w:r w:rsidRPr="005D0B30">
        <w:rPr>
          <w:rFonts w:ascii="Palatino Linotype" w:hAnsi="Palatino Linotype"/>
          <w:sz w:val="24"/>
          <w:szCs w:val="24"/>
          <w:lang w:val="id-ID"/>
        </w:rPr>
        <w:t xml:space="preserve"> LP3ES, (Jakarta: 1990).</w:t>
      </w:r>
    </w:p>
    <w:p w:rsidR="005D0B30" w:rsidRPr="005D0B30" w:rsidRDefault="005D0B30" w:rsidP="005D0B30">
      <w:pPr>
        <w:pStyle w:val="FootnoteText"/>
        <w:ind w:left="900" w:hanging="900"/>
        <w:jc w:val="both"/>
        <w:rPr>
          <w:rFonts w:ascii="Palatino Linotype" w:hAnsi="Palatino Linotype"/>
          <w:sz w:val="24"/>
          <w:szCs w:val="24"/>
        </w:rPr>
      </w:pPr>
      <w:r w:rsidRPr="005D0B30">
        <w:rPr>
          <w:rFonts w:ascii="Palatino Linotype" w:hAnsi="Palatino Linotype"/>
          <w:sz w:val="24"/>
          <w:szCs w:val="24"/>
          <w:lang w:val="id-ID"/>
        </w:rPr>
        <w:t xml:space="preserve">Hua-Ching Ni, </w:t>
      </w:r>
      <w:r w:rsidRPr="005D0B30">
        <w:rPr>
          <w:rFonts w:ascii="Palatino Linotype" w:hAnsi="Palatino Linotype"/>
          <w:i/>
          <w:sz w:val="24"/>
          <w:szCs w:val="24"/>
          <w:lang w:val="id-ID"/>
        </w:rPr>
        <w:t>Tao The Subtle Unicersal Law and The Integral Way of Life,</w:t>
      </w:r>
      <w:r w:rsidRPr="005D0B30">
        <w:rPr>
          <w:rFonts w:ascii="Palatino Linotype" w:hAnsi="Palatino Linotype"/>
          <w:sz w:val="24"/>
          <w:szCs w:val="24"/>
          <w:lang w:val="id-ID"/>
        </w:rPr>
        <w:t xml:space="preserve"> Terj. Untung Yuwono, </w:t>
      </w:r>
      <w:r w:rsidRPr="005D0B30">
        <w:rPr>
          <w:rFonts w:ascii="Palatino Linotype" w:hAnsi="Palatino Linotype"/>
          <w:i/>
          <w:sz w:val="24"/>
          <w:szCs w:val="24"/>
          <w:lang w:val="id-ID"/>
        </w:rPr>
        <w:t xml:space="preserve">TAO Pedoman Selaras Dengan Alam, </w:t>
      </w:r>
      <w:r w:rsidRPr="005D0B30">
        <w:rPr>
          <w:rFonts w:ascii="Palatino Linotype" w:hAnsi="Palatino Linotype"/>
          <w:sz w:val="24"/>
          <w:szCs w:val="24"/>
          <w:lang w:val="id-ID"/>
        </w:rPr>
        <w:t>PT. Pustaka Delapratasa, Edisi II, (Jakarta: 1997).</w:t>
      </w:r>
    </w:p>
    <w:p w:rsidR="005D0B30" w:rsidRPr="005D0B30" w:rsidRDefault="005D0B30" w:rsidP="005D0B30">
      <w:pPr>
        <w:pStyle w:val="FootnoteText"/>
        <w:ind w:left="900" w:hanging="900"/>
        <w:jc w:val="both"/>
        <w:rPr>
          <w:rFonts w:ascii="Palatino Linotype" w:hAnsi="Palatino Linotype"/>
          <w:sz w:val="24"/>
          <w:szCs w:val="24"/>
        </w:rPr>
      </w:pPr>
      <w:r w:rsidRPr="005D0B30">
        <w:rPr>
          <w:rFonts w:ascii="Palatino Linotype" w:hAnsi="Palatino Linotype"/>
          <w:sz w:val="24"/>
          <w:szCs w:val="24"/>
          <w:lang w:val="id-ID"/>
        </w:rPr>
        <w:t xml:space="preserve">Carl Joachim Friedrich, 1969, </w:t>
      </w:r>
      <w:r w:rsidRPr="005D0B30">
        <w:rPr>
          <w:rFonts w:ascii="Palatino Linotype" w:hAnsi="Palatino Linotype"/>
          <w:i/>
          <w:sz w:val="24"/>
          <w:szCs w:val="24"/>
          <w:lang w:val="id-ID"/>
        </w:rPr>
        <w:t>The Philosophy of Law in Historical Perspective</w:t>
      </w:r>
      <w:r w:rsidRPr="005D0B30">
        <w:rPr>
          <w:rFonts w:ascii="Palatino Linotype" w:hAnsi="Palatino Linotype"/>
          <w:sz w:val="24"/>
          <w:szCs w:val="24"/>
          <w:lang w:val="id-ID"/>
        </w:rPr>
        <w:t xml:space="preserve">, The University of Chicago Press, Chicago, Terj. Raisul Muttaqien, 2010, </w:t>
      </w:r>
      <w:r w:rsidRPr="005D0B30">
        <w:rPr>
          <w:rFonts w:ascii="Palatino Linotype" w:hAnsi="Palatino Linotype"/>
          <w:i/>
          <w:sz w:val="24"/>
          <w:szCs w:val="24"/>
          <w:lang w:val="id-ID"/>
        </w:rPr>
        <w:t>Filsafat Hukum Persepektif Histori</w:t>
      </w:r>
      <w:r w:rsidRPr="005D0B30">
        <w:rPr>
          <w:rFonts w:ascii="Palatino Linotype" w:hAnsi="Palatino Linotype"/>
          <w:sz w:val="24"/>
          <w:szCs w:val="24"/>
          <w:lang w:val="id-ID"/>
        </w:rPr>
        <w:t>s, Cet-III, Nusamedia, Bandung.</w:t>
      </w:r>
    </w:p>
    <w:p w:rsidR="005D0B30" w:rsidRPr="005D0B30" w:rsidRDefault="005D0B30" w:rsidP="005D0B30">
      <w:pPr>
        <w:pStyle w:val="FootnoteText"/>
        <w:ind w:left="900" w:hanging="900"/>
        <w:jc w:val="both"/>
        <w:rPr>
          <w:rFonts w:ascii="Palatino Linotype" w:hAnsi="Palatino Linotype"/>
          <w:sz w:val="24"/>
          <w:szCs w:val="24"/>
        </w:rPr>
      </w:pPr>
      <w:r w:rsidRPr="005D0B30">
        <w:rPr>
          <w:rFonts w:ascii="Palatino Linotype" w:hAnsi="Palatino Linotype"/>
          <w:sz w:val="24"/>
          <w:szCs w:val="24"/>
          <w:lang w:val="id-ID"/>
        </w:rPr>
        <w:t xml:space="preserve">Departemen Luar Negeri Amerika Serikat, 2001. </w:t>
      </w:r>
      <w:r w:rsidRPr="005D0B30">
        <w:rPr>
          <w:rFonts w:ascii="Palatino Linotype" w:hAnsi="Palatino Linotype"/>
          <w:i/>
          <w:sz w:val="24"/>
          <w:szCs w:val="24"/>
          <w:lang w:val="id-ID"/>
        </w:rPr>
        <w:t>Garis Besar Sistem Hukum Amerika Serikat,</w:t>
      </w:r>
      <w:r w:rsidRPr="005D0B30">
        <w:rPr>
          <w:rFonts w:ascii="Palatino Linotype" w:hAnsi="Palatino Linotype"/>
          <w:sz w:val="24"/>
          <w:szCs w:val="24"/>
          <w:lang w:val="id-ID"/>
        </w:rPr>
        <w:t xml:space="preserve"> Biro Program Informasi Internasional, A.S.</w:t>
      </w:r>
    </w:p>
    <w:p w:rsidR="005D0B30" w:rsidRPr="005D0B30" w:rsidRDefault="005D0B30" w:rsidP="005D0B30">
      <w:pPr>
        <w:pStyle w:val="FootnoteText"/>
        <w:ind w:left="900" w:hanging="900"/>
        <w:jc w:val="both"/>
        <w:rPr>
          <w:rFonts w:ascii="Palatino Linotype" w:hAnsi="Palatino Linotype"/>
          <w:sz w:val="24"/>
          <w:szCs w:val="24"/>
        </w:rPr>
      </w:pPr>
      <w:r w:rsidRPr="005D0B30">
        <w:rPr>
          <w:rFonts w:ascii="Palatino Linotype" w:hAnsi="Palatino Linotype"/>
          <w:sz w:val="24"/>
          <w:szCs w:val="24"/>
          <w:lang w:val="id-ID"/>
        </w:rPr>
        <w:t xml:space="preserve">Magnis Suseno Franz, 1999, </w:t>
      </w:r>
      <w:r w:rsidRPr="005D0B30">
        <w:rPr>
          <w:rFonts w:ascii="Palatino Linotype" w:hAnsi="Palatino Linotype"/>
          <w:i/>
          <w:sz w:val="24"/>
          <w:szCs w:val="24"/>
          <w:lang w:val="id-ID"/>
        </w:rPr>
        <w:t>Etika Politik; Prinsip-Prinsip Moral Dasar Kenegaraan Modern</w:t>
      </w:r>
      <w:r w:rsidRPr="005D0B30">
        <w:rPr>
          <w:rFonts w:ascii="Palatino Linotype" w:hAnsi="Palatino Linotype"/>
          <w:sz w:val="24"/>
          <w:szCs w:val="24"/>
          <w:lang w:val="id-ID"/>
        </w:rPr>
        <w:t>, Gramedia Pustaka Utama, Jakarta.</w:t>
      </w:r>
    </w:p>
    <w:p w:rsidR="005D0B30" w:rsidRPr="005D0B30" w:rsidRDefault="005D0B30" w:rsidP="005D0B30">
      <w:pPr>
        <w:pStyle w:val="FootnoteText"/>
        <w:ind w:left="900" w:hanging="900"/>
        <w:jc w:val="both"/>
        <w:rPr>
          <w:rFonts w:ascii="Palatino Linotype" w:hAnsi="Palatino Linotype"/>
          <w:sz w:val="24"/>
          <w:szCs w:val="24"/>
        </w:rPr>
      </w:pPr>
      <w:r w:rsidRPr="005D0B30">
        <w:rPr>
          <w:rFonts w:ascii="Palatino Linotype" w:hAnsi="Palatino Linotype"/>
          <w:sz w:val="24"/>
          <w:szCs w:val="24"/>
          <w:lang w:val="id-ID"/>
        </w:rPr>
        <w:t xml:space="preserve">Maman Suherman Ade, 2004, </w:t>
      </w:r>
      <w:r w:rsidRPr="005D0B30">
        <w:rPr>
          <w:rFonts w:ascii="Palatino Linotype" w:hAnsi="Palatino Linotype"/>
          <w:i/>
          <w:sz w:val="24"/>
          <w:szCs w:val="24"/>
          <w:lang w:val="id-ID"/>
        </w:rPr>
        <w:t>Pengantar Perbandingan Sistem Hukum Civil Law, Common Law, Hukum Islam</w:t>
      </w:r>
      <w:r w:rsidRPr="005D0B30">
        <w:rPr>
          <w:rFonts w:ascii="Palatino Linotype" w:hAnsi="Palatino Linotype"/>
          <w:sz w:val="24"/>
          <w:szCs w:val="24"/>
          <w:lang w:val="id-ID"/>
        </w:rPr>
        <w:t>, PT. RajaGrafindo Persada, Jakarta.</w:t>
      </w:r>
    </w:p>
    <w:p w:rsidR="005D0B30" w:rsidRPr="005D0B30" w:rsidRDefault="005D0B30" w:rsidP="005D0B30">
      <w:pPr>
        <w:pStyle w:val="FootnoteText"/>
        <w:ind w:left="900" w:hanging="900"/>
        <w:jc w:val="both"/>
        <w:rPr>
          <w:rFonts w:ascii="Palatino Linotype" w:hAnsi="Palatino Linotype"/>
          <w:sz w:val="24"/>
          <w:szCs w:val="24"/>
        </w:rPr>
      </w:pPr>
      <w:r w:rsidRPr="005D0B30">
        <w:rPr>
          <w:rFonts w:ascii="Palatino Linotype" w:hAnsi="Palatino Linotype"/>
          <w:sz w:val="24"/>
          <w:szCs w:val="24"/>
          <w:lang w:val="id-ID"/>
        </w:rPr>
        <w:t xml:space="preserve">Marbun B.N., 1983, </w:t>
      </w:r>
      <w:r w:rsidRPr="005D0B30">
        <w:rPr>
          <w:rFonts w:ascii="Palatino Linotype" w:hAnsi="Palatino Linotype"/>
          <w:i/>
          <w:sz w:val="24"/>
          <w:szCs w:val="24"/>
          <w:lang w:val="id-ID"/>
        </w:rPr>
        <w:t>Demokrasi Jerman Perkembangan dan Permasalahannya</w:t>
      </w:r>
      <w:r w:rsidRPr="005D0B30">
        <w:rPr>
          <w:rFonts w:ascii="Palatino Linotype" w:hAnsi="Palatino Linotype"/>
          <w:sz w:val="24"/>
          <w:szCs w:val="24"/>
          <w:lang w:val="id-ID"/>
        </w:rPr>
        <w:t>, Sinar Harapan, Cet-I, Jakarta.</w:t>
      </w:r>
    </w:p>
    <w:p w:rsidR="005D0B30" w:rsidRPr="005D0B30" w:rsidRDefault="005D0B30" w:rsidP="005D0B30">
      <w:pPr>
        <w:pStyle w:val="FootnoteText"/>
        <w:ind w:left="900" w:hanging="900"/>
        <w:jc w:val="both"/>
        <w:rPr>
          <w:rFonts w:ascii="Palatino Linotype" w:hAnsi="Palatino Linotype"/>
          <w:sz w:val="24"/>
          <w:szCs w:val="24"/>
        </w:rPr>
      </w:pPr>
      <w:r w:rsidRPr="005D0B30">
        <w:rPr>
          <w:rFonts w:ascii="Palatino Linotype" w:hAnsi="Palatino Linotype"/>
          <w:sz w:val="24"/>
          <w:szCs w:val="24"/>
          <w:lang w:val="id-ID"/>
        </w:rPr>
        <w:t xml:space="preserve">Rahardjo Satjipto, 2000, </w:t>
      </w:r>
      <w:r w:rsidRPr="005D0B30">
        <w:rPr>
          <w:rFonts w:ascii="Palatino Linotype" w:hAnsi="Palatino Linotype"/>
          <w:i/>
          <w:sz w:val="24"/>
          <w:szCs w:val="24"/>
          <w:lang w:val="id-ID"/>
        </w:rPr>
        <w:t>Ilmu Hukum</w:t>
      </w:r>
      <w:r w:rsidRPr="005D0B30">
        <w:rPr>
          <w:rFonts w:ascii="Palatino Linotype" w:hAnsi="Palatino Linotype"/>
          <w:sz w:val="24"/>
          <w:szCs w:val="24"/>
          <w:lang w:val="id-ID"/>
        </w:rPr>
        <w:t>, Citra Aditya Bakti, Bandung.</w:t>
      </w:r>
    </w:p>
    <w:p w:rsidR="005D0B30" w:rsidRPr="005D0B30" w:rsidRDefault="005D0B30" w:rsidP="005D0B30">
      <w:pPr>
        <w:pStyle w:val="FootnoteText"/>
        <w:ind w:left="900" w:hanging="900"/>
        <w:jc w:val="both"/>
        <w:rPr>
          <w:rFonts w:ascii="Palatino Linotype" w:hAnsi="Palatino Linotype"/>
          <w:sz w:val="24"/>
          <w:szCs w:val="24"/>
        </w:rPr>
      </w:pPr>
      <w:r w:rsidRPr="005D0B30">
        <w:rPr>
          <w:rFonts w:ascii="Palatino Linotype" w:hAnsi="Palatino Linotype"/>
          <w:sz w:val="24"/>
          <w:szCs w:val="24"/>
          <w:lang w:val="id-ID"/>
        </w:rPr>
        <w:lastRenderedPageBreak/>
        <w:t xml:space="preserve">______________, 2004, </w:t>
      </w:r>
      <w:r w:rsidRPr="005D0B30">
        <w:rPr>
          <w:rFonts w:ascii="Palatino Linotype" w:hAnsi="Palatino Linotype"/>
          <w:i/>
          <w:sz w:val="24"/>
          <w:szCs w:val="24"/>
          <w:lang w:val="id-ID"/>
        </w:rPr>
        <w:t>Peninjauan Hukum dan Cacat Undang-Undang Dalam Hukum di Indonesia</w:t>
      </w:r>
      <w:r w:rsidRPr="005D0B30">
        <w:rPr>
          <w:rFonts w:ascii="Palatino Linotype" w:hAnsi="Palatino Linotype"/>
          <w:sz w:val="24"/>
          <w:szCs w:val="24"/>
          <w:lang w:val="id-ID"/>
        </w:rPr>
        <w:t>, Citra Aditya Bakti, Bandung.</w:t>
      </w:r>
    </w:p>
    <w:p w:rsidR="005D0B30" w:rsidRPr="005D0B30" w:rsidRDefault="005D0B30" w:rsidP="005D0B30">
      <w:pPr>
        <w:pStyle w:val="FootnoteText"/>
        <w:ind w:left="900" w:hanging="900"/>
        <w:jc w:val="both"/>
        <w:rPr>
          <w:rFonts w:ascii="Palatino Linotype" w:hAnsi="Palatino Linotype"/>
          <w:sz w:val="24"/>
          <w:szCs w:val="24"/>
        </w:rPr>
      </w:pPr>
      <w:r w:rsidRPr="005D0B30">
        <w:rPr>
          <w:rFonts w:ascii="Palatino Linotype" w:hAnsi="Palatino Linotype"/>
          <w:sz w:val="24"/>
          <w:szCs w:val="24"/>
          <w:lang w:val="id-ID"/>
        </w:rPr>
        <w:t xml:space="preserve">Roestandi Achmad, 2006, </w:t>
      </w:r>
      <w:r w:rsidRPr="005D0B30">
        <w:rPr>
          <w:rFonts w:ascii="Palatino Linotype" w:hAnsi="Palatino Linotype"/>
          <w:i/>
          <w:sz w:val="24"/>
          <w:szCs w:val="24"/>
          <w:lang w:val="id-ID"/>
        </w:rPr>
        <w:t>Mahkamah Konstitusi Dalam Tanya Jawab,</w:t>
      </w:r>
      <w:r w:rsidRPr="005D0B30">
        <w:rPr>
          <w:rFonts w:ascii="Palatino Linotype" w:hAnsi="Palatino Linotype"/>
          <w:sz w:val="24"/>
          <w:szCs w:val="24"/>
          <w:lang w:val="id-ID"/>
        </w:rPr>
        <w:t xml:space="preserve"> Sekertariat Jenderal dan Kepaniteraan Mahkamah Konstitusi Republik Indonesia, Jakarta.</w:t>
      </w:r>
    </w:p>
    <w:p w:rsidR="005D0B30" w:rsidRPr="005D0B30" w:rsidRDefault="005D0B30" w:rsidP="005D0B30">
      <w:pPr>
        <w:pStyle w:val="FootnoteText"/>
        <w:ind w:left="900" w:hanging="900"/>
        <w:jc w:val="both"/>
        <w:rPr>
          <w:rFonts w:ascii="Palatino Linotype" w:hAnsi="Palatino Linotype"/>
          <w:sz w:val="24"/>
          <w:szCs w:val="24"/>
        </w:rPr>
      </w:pPr>
      <w:r w:rsidRPr="005D0B30">
        <w:rPr>
          <w:rFonts w:ascii="Palatino Linotype" w:hAnsi="Palatino Linotype"/>
          <w:sz w:val="24"/>
          <w:szCs w:val="24"/>
          <w:lang w:val="id-ID"/>
        </w:rPr>
        <w:t xml:space="preserve">Sarip, 2007, </w:t>
      </w:r>
      <w:r w:rsidRPr="005D0B30">
        <w:rPr>
          <w:rFonts w:ascii="Palatino Linotype" w:hAnsi="Palatino Linotype"/>
          <w:i/>
          <w:sz w:val="24"/>
          <w:szCs w:val="24"/>
          <w:lang w:val="id-ID"/>
        </w:rPr>
        <w:t>Mengungkap Wajah Peradilan Tata Negara Indonesia</w:t>
      </w:r>
      <w:r w:rsidRPr="005D0B30">
        <w:rPr>
          <w:rFonts w:ascii="Palatino Linotype" w:hAnsi="Palatino Linotype"/>
          <w:sz w:val="24"/>
          <w:szCs w:val="24"/>
          <w:lang w:val="id-ID"/>
        </w:rPr>
        <w:t>, Genta Press Yogyakarta.</w:t>
      </w:r>
    </w:p>
    <w:p w:rsidR="005D0B30" w:rsidRPr="005D0B30" w:rsidRDefault="005D0B30" w:rsidP="005D0B30">
      <w:pPr>
        <w:pStyle w:val="FootnoteText"/>
        <w:ind w:left="900" w:hanging="900"/>
        <w:jc w:val="both"/>
        <w:rPr>
          <w:rFonts w:ascii="Palatino Linotype" w:hAnsi="Palatino Linotype"/>
          <w:sz w:val="24"/>
          <w:szCs w:val="24"/>
        </w:rPr>
      </w:pPr>
      <w:r w:rsidRPr="005D0B30">
        <w:rPr>
          <w:rFonts w:ascii="Palatino Linotype" w:hAnsi="Palatino Linotype"/>
          <w:sz w:val="24"/>
          <w:szCs w:val="24"/>
          <w:lang w:val="id-ID"/>
        </w:rPr>
        <w:t xml:space="preserve">Urger. Roberto M, 2008, </w:t>
      </w:r>
      <w:r w:rsidRPr="005D0B30">
        <w:rPr>
          <w:rFonts w:ascii="Palatino Linotype" w:hAnsi="Palatino Linotype"/>
          <w:i/>
          <w:sz w:val="24"/>
          <w:szCs w:val="24"/>
          <w:lang w:val="id-ID"/>
        </w:rPr>
        <w:t>Law And Modern Society: Toward a Critiscm of Social Theory,</w:t>
      </w:r>
      <w:r w:rsidRPr="005D0B30">
        <w:rPr>
          <w:rFonts w:ascii="Palatino Linotype" w:hAnsi="Palatino Linotype"/>
          <w:sz w:val="24"/>
          <w:szCs w:val="24"/>
          <w:lang w:val="id-ID"/>
        </w:rPr>
        <w:t xml:space="preserve"> Terj. Dariyanto dan Derta Sri Widowati, </w:t>
      </w:r>
      <w:r w:rsidRPr="005D0B30">
        <w:rPr>
          <w:rFonts w:ascii="Palatino Linotype" w:hAnsi="Palatino Linotype"/>
          <w:i/>
          <w:sz w:val="24"/>
          <w:szCs w:val="24"/>
          <w:lang w:val="id-ID"/>
        </w:rPr>
        <w:t>Teori Hukum Kritis: Posisi Hukum Dalam Masyarakat Modern</w:t>
      </w:r>
      <w:r w:rsidRPr="005D0B30">
        <w:rPr>
          <w:rFonts w:ascii="Palatino Linotype" w:hAnsi="Palatino Linotype"/>
          <w:sz w:val="24"/>
          <w:szCs w:val="24"/>
          <w:lang w:val="id-ID"/>
        </w:rPr>
        <w:t>, Cet-II, Nusamedia, Bandung.</w:t>
      </w:r>
    </w:p>
    <w:p w:rsidR="005D0B30" w:rsidRPr="005D0B30" w:rsidRDefault="005D0B30" w:rsidP="005D0B30">
      <w:pPr>
        <w:pStyle w:val="FootnoteText"/>
        <w:ind w:left="900" w:hanging="900"/>
        <w:jc w:val="both"/>
        <w:rPr>
          <w:rFonts w:ascii="Palatino Linotype" w:hAnsi="Palatino Linotype"/>
          <w:sz w:val="24"/>
          <w:szCs w:val="24"/>
        </w:rPr>
      </w:pPr>
      <w:r w:rsidRPr="005D0B30">
        <w:rPr>
          <w:rFonts w:ascii="Palatino Linotype" w:hAnsi="Palatino Linotype"/>
          <w:sz w:val="24"/>
          <w:szCs w:val="24"/>
          <w:lang w:val="id-ID"/>
        </w:rPr>
        <w:t xml:space="preserve">Wignjosoebroto Soetandyo, 1994, </w:t>
      </w:r>
      <w:r w:rsidRPr="005D0B30">
        <w:rPr>
          <w:rFonts w:ascii="Palatino Linotype" w:hAnsi="Palatino Linotype"/>
          <w:i/>
          <w:sz w:val="24"/>
          <w:szCs w:val="24"/>
          <w:lang w:val="id-ID"/>
        </w:rPr>
        <w:t>Hukum Kolonial ke Hukum Nasional; Dinamika Sosial Politik Dalam Perkembangan Hukum di Indonesia</w:t>
      </w:r>
      <w:r w:rsidRPr="005D0B30">
        <w:rPr>
          <w:rFonts w:ascii="Palatino Linotype" w:hAnsi="Palatino Linotype"/>
          <w:sz w:val="24"/>
          <w:szCs w:val="24"/>
          <w:lang w:val="id-ID"/>
        </w:rPr>
        <w:t>, PT RajaGrafindo Persada, Jakarta.</w:t>
      </w:r>
    </w:p>
    <w:p w:rsidR="005D0B30" w:rsidRPr="005D0B30" w:rsidRDefault="005D0B30" w:rsidP="005D0B30">
      <w:pPr>
        <w:pStyle w:val="FootnoteText"/>
        <w:ind w:left="900" w:hanging="900"/>
        <w:jc w:val="both"/>
        <w:rPr>
          <w:rFonts w:ascii="Palatino Linotype" w:hAnsi="Palatino Linotype"/>
          <w:sz w:val="24"/>
          <w:szCs w:val="24"/>
        </w:rPr>
      </w:pPr>
      <w:r w:rsidRPr="005D0B30">
        <w:rPr>
          <w:rFonts w:ascii="Palatino Linotype" w:hAnsi="Palatino Linotype"/>
          <w:sz w:val="24"/>
          <w:szCs w:val="24"/>
          <w:lang w:val="id-ID"/>
        </w:rPr>
        <w:t>Jurnal Konstitusi, Mahkamah Konsttitusi Republik Indonesia, Volume III, Nomor1, Februari 2006.</w:t>
      </w:r>
    </w:p>
    <w:p w:rsidR="005D0B30" w:rsidRPr="005D0B30" w:rsidRDefault="005D0B30" w:rsidP="005D0B30">
      <w:pPr>
        <w:pStyle w:val="FootnoteText"/>
        <w:ind w:left="900" w:hanging="900"/>
        <w:jc w:val="both"/>
        <w:rPr>
          <w:rFonts w:ascii="Palatino Linotype" w:hAnsi="Palatino Linotype"/>
          <w:sz w:val="24"/>
          <w:szCs w:val="24"/>
        </w:rPr>
      </w:pPr>
      <w:r w:rsidRPr="005D0B30">
        <w:rPr>
          <w:rFonts w:ascii="Palatino Linotype" w:hAnsi="Palatino Linotype"/>
          <w:sz w:val="24"/>
          <w:szCs w:val="24"/>
          <w:lang w:val="id-ID"/>
        </w:rPr>
        <w:t>Jurnal Ilmu Hukum Fiat Justisia, Fakultas Hukum Universitas Lampung, Volume1, Nomor 3, September-Desember 2007.</w:t>
      </w:r>
    </w:p>
    <w:p w:rsidR="005D0B30" w:rsidRPr="005D0B30" w:rsidRDefault="005D0B30" w:rsidP="005D0B30">
      <w:pPr>
        <w:pStyle w:val="FootnoteText"/>
        <w:ind w:left="900" w:hanging="900"/>
        <w:jc w:val="both"/>
        <w:rPr>
          <w:rFonts w:ascii="Palatino Linotype" w:hAnsi="Palatino Linotype"/>
          <w:sz w:val="24"/>
          <w:szCs w:val="24"/>
        </w:rPr>
      </w:pPr>
      <w:r w:rsidRPr="005D0B30">
        <w:rPr>
          <w:rFonts w:ascii="Palatino Linotype" w:hAnsi="Palatino Linotype"/>
          <w:sz w:val="24"/>
          <w:szCs w:val="24"/>
          <w:lang w:val="id-ID"/>
        </w:rPr>
        <w:t>Wirjono Projodikoro dalam Dahlan Thaib,</w:t>
      </w:r>
      <w:r w:rsidRPr="005D0B30">
        <w:rPr>
          <w:rFonts w:ascii="Palatino Linotype" w:hAnsi="Palatino Linotype"/>
          <w:i/>
          <w:iCs/>
          <w:sz w:val="24"/>
          <w:szCs w:val="24"/>
          <w:lang w:val="id-ID"/>
        </w:rPr>
        <w:t xml:space="preserve"> Teori Hukum dan Konstitusi</w:t>
      </w:r>
      <w:r w:rsidRPr="005D0B30">
        <w:rPr>
          <w:rFonts w:ascii="Palatino Linotype" w:hAnsi="Palatino Linotype"/>
          <w:sz w:val="24"/>
          <w:szCs w:val="24"/>
          <w:lang w:val="id-ID"/>
        </w:rPr>
        <w:t xml:space="preserve">, cet-1 PT. RajaGrafindo Persada, 1999, Jakarta, </w:t>
      </w:r>
    </w:p>
    <w:p w:rsidR="005D0B30" w:rsidRPr="005D0B30" w:rsidRDefault="005D0B30" w:rsidP="005D0B30">
      <w:pPr>
        <w:pStyle w:val="FootnoteText"/>
        <w:ind w:left="900" w:hanging="900"/>
        <w:jc w:val="both"/>
        <w:rPr>
          <w:rFonts w:ascii="Palatino Linotype" w:hAnsi="Palatino Linotype"/>
          <w:sz w:val="24"/>
          <w:szCs w:val="24"/>
        </w:rPr>
      </w:pPr>
      <w:r w:rsidRPr="005D0B30">
        <w:rPr>
          <w:rFonts w:ascii="Palatino Linotype" w:hAnsi="Palatino Linotype"/>
          <w:sz w:val="24"/>
          <w:szCs w:val="24"/>
          <w:lang w:val="id-ID"/>
        </w:rPr>
        <w:t xml:space="preserve">Dahlan Thaib, </w:t>
      </w:r>
      <w:r w:rsidRPr="005D0B30">
        <w:rPr>
          <w:rFonts w:ascii="Palatino Linotype" w:hAnsi="Palatino Linotype"/>
          <w:sz w:val="24"/>
          <w:szCs w:val="24"/>
        </w:rPr>
        <w:t xml:space="preserve">2004, </w:t>
      </w:r>
      <w:r w:rsidRPr="005D0B30">
        <w:rPr>
          <w:rFonts w:ascii="Palatino Linotype" w:hAnsi="Palatino Linotype"/>
          <w:i/>
          <w:iCs/>
          <w:sz w:val="24"/>
          <w:szCs w:val="24"/>
          <w:lang w:val="id-ID"/>
        </w:rPr>
        <w:t>Teori dan Hukum Konstitusi</w:t>
      </w:r>
      <w:r w:rsidRPr="005D0B30">
        <w:rPr>
          <w:rFonts w:ascii="Palatino Linotype" w:hAnsi="Palatino Linotype"/>
          <w:sz w:val="24"/>
          <w:szCs w:val="24"/>
          <w:lang w:val="id-ID"/>
        </w:rPr>
        <w:t>, Cet-IV, PT RajaGrafindo Persada, Jakarta, .</w:t>
      </w:r>
    </w:p>
    <w:p w:rsidR="005D0B30" w:rsidRPr="005D0B30" w:rsidRDefault="005D0B30" w:rsidP="005D0B30">
      <w:pPr>
        <w:pStyle w:val="FootnoteText"/>
        <w:ind w:left="900" w:hanging="900"/>
        <w:jc w:val="both"/>
        <w:rPr>
          <w:rFonts w:ascii="Palatino Linotype" w:hAnsi="Palatino Linotype"/>
          <w:sz w:val="24"/>
          <w:szCs w:val="24"/>
        </w:rPr>
      </w:pPr>
      <w:r w:rsidRPr="005D0B30">
        <w:rPr>
          <w:rFonts w:ascii="Palatino Linotype" w:hAnsi="Palatino Linotype"/>
          <w:sz w:val="24"/>
          <w:szCs w:val="24"/>
          <w:lang w:val="id-ID"/>
        </w:rPr>
        <w:t xml:space="preserve">Tim Penyusun Kamus, </w:t>
      </w:r>
      <w:r w:rsidRPr="005D0B30">
        <w:rPr>
          <w:rFonts w:ascii="Palatino Linotype" w:hAnsi="Palatino Linotype"/>
          <w:i/>
          <w:iCs/>
          <w:sz w:val="24"/>
          <w:szCs w:val="24"/>
          <w:lang w:val="id-ID"/>
        </w:rPr>
        <w:t>Kamus Besar Bahasa Indonesia</w:t>
      </w:r>
      <w:r w:rsidRPr="005D0B30">
        <w:rPr>
          <w:rFonts w:ascii="Palatino Linotype" w:hAnsi="Palatino Linotype"/>
          <w:sz w:val="24"/>
          <w:szCs w:val="24"/>
          <w:lang w:val="id-ID"/>
        </w:rPr>
        <w:t>, Edisi II Departemen Pendidikan dan Kebudayaan, Balai Pustaka, 2002, Jakarta.</w:t>
      </w:r>
    </w:p>
    <w:p w:rsidR="005D0B30" w:rsidRPr="005D0B30" w:rsidRDefault="005D0B30" w:rsidP="005D0B30">
      <w:pPr>
        <w:pStyle w:val="FootnoteText"/>
        <w:ind w:left="900" w:hanging="900"/>
        <w:jc w:val="both"/>
        <w:rPr>
          <w:rFonts w:ascii="Palatino Linotype" w:hAnsi="Palatino Linotype"/>
          <w:sz w:val="24"/>
          <w:szCs w:val="24"/>
        </w:rPr>
      </w:pPr>
      <w:r w:rsidRPr="005D0B30">
        <w:rPr>
          <w:rFonts w:ascii="Palatino Linotype" w:hAnsi="Palatino Linotype"/>
          <w:sz w:val="24"/>
          <w:szCs w:val="24"/>
          <w:lang w:val="id-ID"/>
        </w:rPr>
        <w:t xml:space="preserve">Ahmad Sukardja, </w:t>
      </w:r>
      <w:r w:rsidRPr="005D0B30">
        <w:rPr>
          <w:rFonts w:ascii="Palatino Linotype" w:hAnsi="Palatino Linotype"/>
          <w:sz w:val="24"/>
          <w:szCs w:val="24"/>
        </w:rPr>
        <w:t xml:space="preserve">1995, </w:t>
      </w:r>
      <w:r w:rsidRPr="005D0B30">
        <w:rPr>
          <w:rFonts w:ascii="Palatino Linotype" w:hAnsi="Palatino Linotype"/>
          <w:sz w:val="24"/>
          <w:szCs w:val="24"/>
          <w:lang w:val="id-ID"/>
        </w:rPr>
        <w:t>P</w:t>
      </w:r>
      <w:r w:rsidRPr="005D0B30">
        <w:rPr>
          <w:rFonts w:ascii="Palatino Linotype" w:hAnsi="Palatino Linotype"/>
          <w:i/>
          <w:iCs/>
          <w:sz w:val="24"/>
          <w:szCs w:val="24"/>
          <w:lang w:val="id-ID"/>
        </w:rPr>
        <w:t>iagam Madinah dan Undang-Undang Dasar 1945: Kajian Perbadingan tentang Dasar Hidup Bersama dalam Masyarakat Majemuk</w:t>
      </w:r>
      <w:r w:rsidRPr="005D0B30">
        <w:rPr>
          <w:rFonts w:ascii="Palatino Linotype" w:hAnsi="Palatino Linotype"/>
          <w:sz w:val="24"/>
          <w:szCs w:val="24"/>
          <w:lang w:val="id-ID"/>
        </w:rPr>
        <w:t>, UI-Press, Jakarta</w:t>
      </w:r>
    </w:p>
    <w:p w:rsidR="005D0B30" w:rsidRPr="005D0B30" w:rsidRDefault="005D0B30" w:rsidP="005D0B30">
      <w:pPr>
        <w:pStyle w:val="FootnoteText"/>
        <w:ind w:left="900" w:hanging="900"/>
        <w:jc w:val="both"/>
        <w:rPr>
          <w:rFonts w:ascii="Palatino Linotype" w:hAnsi="Palatino Linotype"/>
          <w:sz w:val="24"/>
          <w:szCs w:val="24"/>
        </w:rPr>
      </w:pPr>
      <w:r w:rsidRPr="005D0B30">
        <w:rPr>
          <w:rFonts w:ascii="Palatino Linotype" w:hAnsi="Palatino Linotype"/>
          <w:sz w:val="24"/>
          <w:szCs w:val="24"/>
          <w:lang w:val="id-ID"/>
        </w:rPr>
        <w:t xml:space="preserve">Suyuti Pulungan, </w:t>
      </w:r>
      <w:r w:rsidRPr="005D0B30">
        <w:rPr>
          <w:rFonts w:ascii="Palatino Linotype" w:hAnsi="Palatino Linotype"/>
          <w:sz w:val="24"/>
          <w:szCs w:val="24"/>
        </w:rPr>
        <w:t xml:space="preserve">1994, </w:t>
      </w:r>
      <w:r w:rsidRPr="005D0B30">
        <w:rPr>
          <w:rFonts w:ascii="Palatino Linotype" w:hAnsi="Palatino Linotype"/>
          <w:i/>
          <w:iCs/>
          <w:sz w:val="24"/>
          <w:szCs w:val="24"/>
          <w:lang w:val="id-ID"/>
        </w:rPr>
        <w:t>Prinsip-Prinsip Pemerintahan dalam Piagam Madinah Ditinjau Dari Pandangan Al-Qur’an,</w:t>
      </w:r>
      <w:r w:rsidRPr="005D0B30">
        <w:rPr>
          <w:rFonts w:ascii="Palatino Linotype" w:hAnsi="Palatino Linotype"/>
          <w:sz w:val="24"/>
          <w:szCs w:val="24"/>
          <w:lang w:val="id-ID"/>
        </w:rPr>
        <w:t xml:space="preserve"> Rajawali Pers,</w:t>
      </w:r>
      <w:r w:rsidRPr="005D0B30">
        <w:rPr>
          <w:rFonts w:ascii="Palatino Linotype" w:hAnsi="Palatino Linotype"/>
          <w:sz w:val="24"/>
          <w:szCs w:val="24"/>
        </w:rPr>
        <w:t xml:space="preserve"> </w:t>
      </w:r>
      <w:r w:rsidRPr="005D0B30">
        <w:rPr>
          <w:rFonts w:ascii="Palatino Linotype" w:hAnsi="Palatino Linotype"/>
          <w:sz w:val="24"/>
          <w:szCs w:val="24"/>
          <w:lang w:val="id-ID"/>
        </w:rPr>
        <w:t>Jakarta.</w:t>
      </w:r>
    </w:p>
    <w:p w:rsidR="005D0B30" w:rsidRPr="005D0B30" w:rsidRDefault="005D0B30" w:rsidP="005D0B30">
      <w:pPr>
        <w:pStyle w:val="FootnoteText"/>
        <w:ind w:left="900" w:hanging="900"/>
        <w:jc w:val="both"/>
        <w:rPr>
          <w:rFonts w:ascii="Palatino Linotype" w:hAnsi="Palatino Linotype"/>
          <w:sz w:val="24"/>
          <w:szCs w:val="24"/>
        </w:rPr>
      </w:pPr>
      <w:r w:rsidRPr="005D0B30">
        <w:rPr>
          <w:rFonts w:ascii="Palatino Linotype" w:hAnsi="Palatino Linotype"/>
          <w:sz w:val="24"/>
          <w:szCs w:val="24"/>
          <w:lang w:val="id-ID"/>
        </w:rPr>
        <w:t xml:space="preserve">Subhi Rajab Mahmassani, </w:t>
      </w:r>
      <w:r w:rsidRPr="005D0B30">
        <w:rPr>
          <w:rFonts w:ascii="Palatino Linotype" w:hAnsi="Palatino Linotype"/>
          <w:sz w:val="24"/>
          <w:szCs w:val="24"/>
        </w:rPr>
        <w:t xml:space="preserve">1993, </w:t>
      </w:r>
      <w:r w:rsidRPr="005D0B30">
        <w:rPr>
          <w:rFonts w:ascii="Palatino Linotype" w:hAnsi="Palatino Linotype"/>
          <w:i/>
          <w:iCs/>
          <w:sz w:val="24"/>
          <w:szCs w:val="24"/>
          <w:lang w:val="id-ID"/>
        </w:rPr>
        <w:t>Konsep Dasar Hak-Hak Asasi Manusia: Studi Perbandingan dalam Syariat Islam dan Perundang-Undangan Modern</w:t>
      </w:r>
      <w:r w:rsidRPr="005D0B30">
        <w:rPr>
          <w:rFonts w:ascii="Palatino Linotype" w:hAnsi="Palatino Linotype"/>
          <w:sz w:val="24"/>
          <w:szCs w:val="24"/>
          <w:lang w:val="id-ID"/>
        </w:rPr>
        <w:t xml:space="preserve"> Cet-1 (Diterj Hasanuddin dari Arkan al-Huquq al-Insan,  Tintamas, Jakarta</w:t>
      </w:r>
      <w:r w:rsidRPr="005D0B30">
        <w:rPr>
          <w:rFonts w:ascii="Palatino Linotype" w:hAnsi="Palatino Linotype"/>
          <w:sz w:val="24"/>
          <w:szCs w:val="24"/>
        </w:rPr>
        <w:t>.</w:t>
      </w:r>
    </w:p>
    <w:p w:rsidR="003D4000" w:rsidRPr="00C417DA" w:rsidRDefault="003D4000" w:rsidP="00C324AC">
      <w:pPr>
        <w:widowControl w:val="0"/>
        <w:spacing w:before="120" w:line="240" w:lineRule="exact"/>
        <w:ind w:left="709" w:hanging="709"/>
        <w:jc w:val="both"/>
        <w:rPr>
          <w:rFonts w:ascii="Palatino Linotype" w:hAnsi="Palatino Linotype"/>
          <w:color w:val="000000"/>
          <w:sz w:val="24"/>
          <w:szCs w:val="24"/>
          <w:lang w:val="id-ID"/>
        </w:rPr>
      </w:pPr>
    </w:p>
    <w:sectPr w:rsidR="003D4000" w:rsidRPr="00C417DA" w:rsidSect="00300BF7">
      <w:headerReference w:type="even" r:id="rId8"/>
      <w:headerReference w:type="default" r:id="rId9"/>
      <w:footerReference w:type="even" r:id="rId10"/>
      <w:footerReference w:type="default" r:id="rId11"/>
      <w:footerReference w:type="first" r:id="rId12"/>
      <w:type w:val="continuous"/>
      <w:pgSz w:w="11906" w:h="16838" w:code="9"/>
      <w:pgMar w:top="1701" w:right="1418" w:bottom="1701" w:left="1418" w:header="851" w:footer="851" w:gutter="0"/>
      <w:pgNumType w:start="2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47E1" w:rsidRDefault="00A647E1" w:rsidP="003534D8">
      <w:pPr>
        <w:spacing w:after="0" w:line="240" w:lineRule="auto"/>
      </w:pPr>
      <w:r>
        <w:separator/>
      </w:r>
    </w:p>
  </w:endnote>
  <w:endnote w:type="continuationSeparator" w:id="0">
    <w:p w:rsidR="00A647E1" w:rsidRDefault="00A647E1" w:rsidP="00353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Italic">
    <w:altName w:val="Cambria"/>
    <w:panose1 w:val="00000000000000000000"/>
    <w:charset w:val="00"/>
    <w:family w:val="roman"/>
    <w:notTrueType/>
    <w:pitch w:val="default"/>
  </w:font>
  <w:font w:name="Traditional Arabic">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DAA" w:rsidRPr="00FE23AF" w:rsidRDefault="00145DAA" w:rsidP="00145DAA">
    <w:pPr>
      <w:pStyle w:val="Footer"/>
      <w:widowControl w:val="0"/>
    </w:pPr>
    <w:r w:rsidRPr="0076159F">
      <w:rPr>
        <w:rFonts w:cs="Calibri"/>
        <w:i/>
        <w:noProof/>
        <w:sz w:val="20"/>
        <w:szCs w:val="20"/>
      </w:rPr>
      <w:drawing>
        <wp:inline distT="0" distB="0" distL="0" distR="0" wp14:anchorId="4AE57A31" wp14:editId="608D96E4">
          <wp:extent cx="713740" cy="113030"/>
          <wp:effectExtent l="0" t="0" r="0" b="0"/>
          <wp:docPr id="7" name="Picture 7" descr="logo al dau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al daula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740" cy="113030"/>
                  </a:xfrm>
                  <a:prstGeom prst="rect">
                    <a:avLst/>
                  </a:prstGeom>
                  <a:noFill/>
                  <a:ln>
                    <a:noFill/>
                  </a:ln>
                </pic:spPr>
              </pic:pic>
            </a:graphicData>
          </a:graphic>
        </wp:inline>
      </w:drawing>
    </w:r>
    <w:r w:rsidRPr="00180A44">
      <w:rPr>
        <w:rFonts w:cs="Calibri"/>
        <w:i/>
        <w:sz w:val="20"/>
        <w:szCs w:val="20"/>
      </w:rPr>
      <w:t xml:space="preserve">  Vol. </w:t>
    </w:r>
    <w:r>
      <w:rPr>
        <w:rFonts w:cs="Calibri"/>
        <w:i/>
        <w:sz w:val="20"/>
        <w:szCs w:val="20"/>
      </w:rPr>
      <w:t>…….</w:t>
    </w:r>
    <w:r w:rsidRPr="00180A44">
      <w:rPr>
        <w:rFonts w:cs="Calibri"/>
        <w:i/>
        <w:sz w:val="20"/>
        <w:szCs w:val="20"/>
      </w:rPr>
      <w:t xml:space="preserve"> / No. </w:t>
    </w:r>
    <w:r>
      <w:rPr>
        <w:rFonts w:cs="Calibri"/>
        <w:i/>
        <w:sz w:val="20"/>
        <w:szCs w:val="20"/>
      </w:rPr>
      <w:t>………</w:t>
    </w:r>
    <w:r w:rsidRPr="00180A44">
      <w:rPr>
        <w:rFonts w:cs="Calibri"/>
        <w:i/>
        <w:sz w:val="20"/>
        <w:szCs w:val="20"/>
      </w:rPr>
      <w:t xml:space="preserve"> / </w:t>
    </w:r>
    <w:r>
      <w:rPr>
        <w:rFonts w:cs="Calibri"/>
        <w:i/>
        <w:sz w:val="20"/>
        <w:szCs w:val="20"/>
      </w:rPr>
      <w:t xml:space="preserve">……… 20…. </w:t>
    </w:r>
  </w:p>
  <w:p w:rsidR="00300BF7" w:rsidRPr="003D4000" w:rsidRDefault="00300BF7" w:rsidP="003D4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DAA" w:rsidRPr="00FE23AF" w:rsidRDefault="00145DAA" w:rsidP="00145DAA">
    <w:pPr>
      <w:pStyle w:val="Footer"/>
      <w:widowControl w:val="0"/>
    </w:pPr>
    <w:r w:rsidRPr="0076159F">
      <w:rPr>
        <w:rFonts w:cs="Calibri"/>
        <w:i/>
        <w:noProof/>
        <w:sz w:val="20"/>
        <w:szCs w:val="20"/>
      </w:rPr>
      <w:drawing>
        <wp:inline distT="0" distB="0" distL="0" distR="0" wp14:anchorId="4AE57A31" wp14:editId="608D96E4">
          <wp:extent cx="713740" cy="113030"/>
          <wp:effectExtent l="0" t="0" r="0" b="0"/>
          <wp:docPr id="8" name="Picture 8" descr="logo al dau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al daula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740" cy="113030"/>
                  </a:xfrm>
                  <a:prstGeom prst="rect">
                    <a:avLst/>
                  </a:prstGeom>
                  <a:noFill/>
                  <a:ln>
                    <a:noFill/>
                  </a:ln>
                </pic:spPr>
              </pic:pic>
            </a:graphicData>
          </a:graphic>
        </wp:inline>
      </w:drawing>
    </w:r>
    <w:r w:rsidRPr="00180A44">
      <w:rPr>
        <w:rFonts w:cs="Calibri"/>
        <w:i/>
        <w:sz w:val="20"/>
        <w:szCs w:val="20"/>
      </w:rPr>
      <w:t xml:space="preserve">  Vol. </w:t>
    </w:r>
    <w:r>
      <w:rPr>
        <w:rFonts w:cs="Calibri"/>
        <w:i/>
        <w:sz w:val="20"/>
        <w:szCs w:val="20"/>
      </w:rPr>
      <w:t>…….</w:t>
    </w:r>
    <w:r w:rsidRPr="00180A44">
      <w:rPr>
        <w:rFonts w:cs="Calibri"/>
        <w:i/>
        <w:sz w:val="20"/>
        <w:szCs w:val="20"/>
      </w:rPr>
      <w:t xml:space="preserve"> / No. </w:t>
    </w:r>
    <w:r>
      <w:rPr>
        <w:rFonts w:cs="Calibri"/>
        <w:i/>
        <w:sz w:val="20"/>
        <w:szCs w:val="20"/>
      </w:rPr>
      <w:t>………</w:t>
    </w:r>
    <w:r w:rsidRPr="00180A44">
      <w:rPr>
        <w:rFonts w:cs="Calibri"/>
        <w:i/>
        <w:sz w:val="20"/>
        <w:szCs w:val="20"/>
      </w:rPr>
      <w:t xml:space="preserve"> / </w:t>
    </w:r>
    <w:r>
      <w:rPr>
        <w:rFonts w:cs="Calibri"/>
        <w:i/>
        <w:sz w:val="20"/>
        <w:szCs w:val="20"/>
      </w:rPr>
      <w:t xml:space="preserve">……… 20…. </w:t>
    </w:r>
  </w:p>
  <w:p w:rsidR="00300BF7" w:rsidRPr="003D4000" w:rsidRDefault="00300BF7" w:rsidP="003D4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BF7" w:rsidRPr="00FE23AF" w:rsidRDefault="00300BF7" w:rsidP="00300BF7">
    <w:pPr>
      <w:pStyle w:val="Footer"/>
      <w:widowControl w:val="0"/>
    </w:pPr>
    <w:r w:rsidRPr="0076159F">
      <w:rPr>
        <w:rFonts w:cs="Calibri"/>
        <w:i/>
        <w:noProof/>
        <w:sz w:val="20"/>
        <w:szCs w:val="20"/>
      </w:rPr>
      <w:drawing>
        <wp:inline distT="0" distB="0" distL="0" distR="0" wp14:anchorId="1A63D261" wp14:editId="028A9F25">
          <wp:extent cx="713740" cy="113030"/>
          <wp:effectExtent l="0" t="0" r="0" b="0"/>
          <wp:docPr id="4" name="Picture 4" descr="logo al dau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al daula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740" cy="113030"/>
                  </a:xfrm>
                  <a:prstGeom prst="rect">
                    <a:avLst/>
                  </a:prstGeom>
                  <a:noFill/>
                  <a:ln>
                    <a:noFill/>
                  </a:ln>
                </pic:spPr>
              </pic:pic>
            </a:graphicData>
          </a:graphic>
        </wp:inline>
      </w:drawing>
    </w:r>
    <w:r w:rsidRPr="00180A44">
      <w:rPr>
        <w:rFonts w:cs="Calibri"/>
        <w:i/>
        <w:sz w:val="20"/>
        <w:szCs w:val="20"/>
      </w:rPr>
      <w:t xml:space="preserve">  Vol. </w:t>
    </w:r>
    <w:r w:rsidR="003D4000">
      <w:rPr>
        <w:rFonts w:cs="Calibri"/>
        <w:i/>
        <w:sz w:val="20"/>
        <w:szCs w:val="20"/>
      </w:rPr>
      <w:t>…….</w:t>
    </w:r>
    <w:r w:rsidRPr="00180A44">
      <w:rPr>
        <w:rFonts w:cs="Calibri"/>
        <w:i/>
        <w:sz w:val="20"/>
        <w:szCs w:val="20"/>
      </w:rPr>
      <w:t xml:space="preserve"> / No. </w:t>
    </w:r>
    <w:r w:rsidR="003D4000">
      <w:rPr>
        <w:rFonts w:cs="Calibri"/>
        <w:i/>
        <w:sz w:val="20"/>
        <w:szCs w:val="20"/>
      </w:rPr>
      <w:t>………</w:t>
    </w:r>
    <w:r w:rsidRPr="00180A44">
      <w:rPr>
        <w:rFonts w:cs="Calibri"/>
        <w:i/>
        <w:sz w:val="20"/>
        <w:szCs w:val="20"/>
      </w:rPr>
      <w:t xml:space="preserve"> / </w:t>
    </w:r>
    <w:r w:rsidR="003D4000">
      <w:rPr>
        <w:rFonts w:cs="Calibri"/>
        <w:i/>
        <w:sz w:val="20"/>
        <w:szCs w:val="20"/>
      </w:rPr>
      <w:t>………</w:t>
    </w:r>
    <w:r w:rsidR="00145DAA">
      <w:rPr>
        <w:rFonts w:cs="Calibri"/>
        <w:i/>
        <w:sz w:val="20"/>
        <w:szCs w:val="20"/>
      </w:rPr>
      <w:t xml:space="preserve"> 20….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47E1" w:rsidRDefault="00A647E1" w:rsidP="003534D8">
      <w:pPr>
        <w:spacing w:after="0" w:line="240" w:lineRule="auto"/>
      </w:pPr>
      <w:r>
        <w:separator/>
      </w:r>
    </w:p>
  </w:footnote>
  <w:footnote w:type="continuationSeparator" w:id="0">
    <w:p w:rsidR="00A647E1" w:rsidRDefault="00A647E1" w:rsidP="003534D8">
      <w:pPr>
        <w:spacing w:after="0" w:line="240" w:lineRule="auto"/>
      </w:pPr>
      <w:r>
        <w:continuationSeparator/>
      </w:r>
    </w:p>
  </w:footnote>
  <w:footnote w:id="1">
    <w:p w:rsidR="007728F8" w:rsidRPr="008E418B" w:rsidRDefault="007728F8" w:rsidP="007728F8">
      <w:pPr>
        <w:pStyle w:val="FootnoteText"/>
        <w:jc w:val="both"/>
        <w:rPr>
          <w:rFonts w:ascii="Times New Roman" w:hAnsi="Times New Roman"/>
          <w:sz w:val="18"/>
          <w:szCs w:val="18"/>
        </w:rPr>
      </w:pPr>
      <w:r w:rsidRPr="008E418B">
        <w:rPr>
          <w:rStyle w:val="FootnoteReference"/>
          <w:rFonts w:ascii="Times New Roman" w:hAnsi="Times New Roman"/>
          <w:sz w:val="18"/>
          <w:szCs w:val="18"/>
          <w:lang w:val="id-ID"/>
        </w:rPr>
        <w:footnoteRef/>
      </w:r>
      <w:r w:rsidRPr="008E418B">
        <w:rPr>
          <w:rFonts w:ascii="Times New Roman" w:hAnsi="Times New Roman"/>
          <w:sz w:val="18"/>
          <w:szCs w:val="18"/>
          <w:lang w:val="id-ID"/>
        </w:rPr>
        <w:t xml:space="preserve"> </w:t>
      </w:r>
      <w:r w:rsidRPr="008E418B">
        <w:rPr>
          <w:rFonts w:ascii="Times New Roman" w:hAnsi="Times New Roman"/>
          <w:sz w:val="18"/>
          <w:szCs w:val="18"/>
        </w:rPr>
        <w:t xml:space="preserve">Lihat UUD 1945 Pasal 1 Ayat (1), </w:t>
      </w:r>
      <w:r w:rsidRPr="008E418B">
        <w:rPr>
          <w:rFonts w:ascii="Times New Roman" w:hAnsi="Times New Roman"/>
          <w:sz w:val="18"/>
          <w:szCs w:val="18"/>
          <w:lang w:val="id-ID"/>
        </w:rPr>
        <w:t xml:space="preserve">Carl Joachim Friedrich, </w:t>
      </w:r>
      <w:r w:rsidRPr="008E418B">
        <w:rPr>
          <w:rFonts w:ascii="Times New Roman" w:hAnsi="Times New Roman"/>
          <w:i/>
          <w:sz w:val="18"/>
          <w:szCs w:val="18"/>
          <w:lang w:val="id-ID"/>
        </w:rPr>
        <w:t>The Philosophy of Law in Historical Perspective</w:t>
      </w:r>
      <w:r w:rsidRPr="008E418B">
        <w:rPr>
          <w:rFonts w:ascii="Times New Roman" w:hAnsi="Times New Roman"/>
          <w:sz w:val="18"/>
          <w:szCs w:val="18"/>
          <w:lang w:val="id-ID"/>
        </w:rPr>
        <w:t xml:space="preserve">, The University of Chicago Press, (Chicago: 1969), Terj. Raisul Muttaqien, </w:t>
      </w:r>
      <w:r w:rsidRPr="008E418B">
        <w:rPr>
          <w:rFonts w:ascii="Times New Roman" w:hAnsi="Times New Roman"/>
          <w:i/>
          <w:sz w:val="18"/>
          <w:szCs w:val="18"/>
          <w:lang w:val="id-ID"/>
        </w:rPr>
        <w:t>Filsafat Hukum Persepektif Histori</w:t>
      </w:r>
      <w:r w:rsidRPr="008E418B">
        <w:rPr>
          <w:rFonts w:ascii="Times New Roman" w:hAnsi="Times New Roman"/>
          <w:sz w:val="18"/>
          <w:szCs w:val="18"/>
          <w:lang w:val="id-ID"/>
        </w:rPr>
        <w:t>s, Cet-III, Nusamedia, (Bandung: 2010), hlm 128-136.</w:t>
      </w:r>
      <w:r w:rsidRPr="008E418B">
        <w:rPr>
          <w:rFonts w:ascii="Times New Roman" w:hAnsi="Times New Roman"/>
          <w:sz w:val="18"/>
          <w:szCs w:val="18"/>
        </w:rPr>
        <w:t xml:space="preserve"> Kata republik sendiri menggandung pengertian re yang berarti kembali public berarti rakyat. Maka dalam hal inilah negara kesatuan Indonesia yang memerintah yakni rakyat sesuai dengan UUD 1945 atau ada yang menyebutnya dengan konstitusi. Lihat juga Made Hendra Wijaya, “Karakteristik Konsep Negara Hukum Pancasila”, </w:t>
      </w:r>
      <w:r w:rsidRPr="008E418B">
        <w:rPr>
          <w:rFonts w:ascii="Times New Roman" w:hAnsi="Times New Roman"/>
          <w:i/>
          <w:sz w:val="18"/>
          <w:szCs w:val="18"/>
        </w:rPr>
        <w:t xml:space="preserve">Jurnal Advokasi, </w:t>
      </w:r>
      <w:r w:rsidRPr="008E418B">
        <w:rPr>
          <w:rFonts w:ascii="Times New Roman" w:hAnsi="Times New Roman"/>
          <w:sz w:val="18"/>
          <w:szCs w:val="18"/>
        </w:rPr>
        <w:t>Volume 5, Nomor 2, September 2015, 199-214, hlm 202.</w:t>
      </w:r>
    </w:p>
  </w:footnote>
  <w:footnote w:id="2">
    <w:p w:rsidR="007728F8" w:rsidRPr="008E418B" w:rsidRDefault="007728F8" w:rsidP="007728F8">
      <w:pPr>
        <w:pStyle w:val="FootnoteText"/>
        <w:rPr>
          <w:rFonts w:ascii="Times New Roman" w:hAnsi="Times New Roman"/>
          <w:sz w:val="18"/>
          <w:szCs w:val="18"/>
        </w:rPr>
      </w:pPr>
      <w:r w:rsidRPr="008E418B">
        <w:rPr>
          <w:rStyle w:val="FootnoteReference"/>
          <w:rFonts w:ascii="Times New Roman" w:hAnsi="Times New Roman"/>
          <w:sz w:val="18"/>
          <w:szCs w:val="18"/>
        </w:rPr>
        <w:footnoteRef/>
      </w:r>
      <w:r w:rsidRPr="008E418B">
        <w:rPr>
          <w:rFonts w:ascii="Times New Roman" w:hAnsi="Times New Roman"/>
          <w:sz w:val="18"/>
          <w:szCs w:val="18"/>
        </w:rPr>
        <w:t xml:space="preserve"> </w:t>
      </w:r>
      <w:r>
        <w:rPr>
          <w:rFonts w:ascii="Times New Roman" w:hAnsi="Times New Roman"/>
          <w:sz w:val="18"/>
          <w:szCs w:val="18"/>
        </w:rPr>
        <w:t xml:space="preserve"> </w:t>
      </w:r>
      <w:r w:rsidRPr="008E418B">
        <w:rPr>
          <w:rFonts w:ascii="Times New Roman" w:hAnsi="Times New Roman"/>
          <w:sz w:val="18"/>
          <w:szCs w:val="18"/>
        </w:rPr>
        <w:t>Lihat UUD 1945 Pasal 24 hasil amandement UUD 1945.</w:t>
      </w:r>
    </w:p>
  </w:footnote>
  <w:footnote w:id="3">
    <w:p w:rsidR="007728F8" w:rsidRPr="008E418B" w:rsidRDefault="007728F8" w:rsidP="007728F8">
      <w:pPr>
        <w:pStyle w:val="FootnoteText"/>
        <w:jc w:val="both"/>
        <w:rPr>
          <w:rFonts w:ascii="Times New Roman" w:hAnsi="Times New Roman"/>
          <w:sz w:val="18"/>
          <w:szCs w:val="18"/>
        </w:rPr>
      </w:pPr>
      <w:r w:rsidRPr="008E418B">
        <w:rPr>
          <w:rStyle w:val="FootnoteReference"/>
          <w:rFonts w:ascii="Times New Roman" w:hAnsi="Times New Roman"/>
          <w:sz w:val="18"/>
          <w:szCs w:val="18"/>
          <w:lang w:val="id-ID"/>
        </w:rPr>
        <w:footnoteRef/>
      </w:r>
      <w:r w:rsidRPr="008E418B">
        <w:rPr>
          <w:rFonts w:ascii="Times New Roman" w:hAnsi="Times New Roman"/>
          <w:sz w:val="18"/>
          <w:szCs w:val="18"/>
          <w:lang w:val="id-ID"/>
        </w:rPr>
        <w:t xml:space="preserve"> Dalam doktrin </w:t>
      </w:r>
      <w:r w:rsidRPr="008E418B">
        <w:rPr>
          <w:rFonts w:ascii="Times New Roman" w:hAnsi="Times New Roman"/>
          <w:i/>
          <w:sz w:val="18"/>
          <w:szCs w:val="18"/>
          <w:lang w:val="id-ID"/>
        </w:rPr>
        <w:t>Trias Politica</w:t>
      </w:r>
      <w:r w:rsidRPr="008E418B">
        <w:rPr>
          <w:rFonts w:ascii="Times New Roman" w:hAnsi="Times New Roman"/>
          <w:sz w:val="18"/>
          <w:szCs w:val="18"/>
          <w:lang w:val="id-ID"/>
        </w:rPr>
        <w:t xml:space="preserve"> lembaga yudikatif dikatakan sebagai lembaga yang mempunyai kewenangan untuk mengadili apabila terjadi pelanggaran-pelanggaran terhadap aturan hukum yang dibuat oleh lembaga legislatif. Dalam tulisan ini digunakan istilah lembaga yudikatif dengan merujuk pada konsistensi doktrin </w:t>
      </w:r>
      <w:r w:rsidRPr="008E418B">
        <w:rPr>
          <w:rFonts w:ascii="Times New Roman" w:hAnsi="Times New Roman"/>
          <w:i/>
          <w:sz w:val="18"/>
          <w:szCs w:val="18"/>
          <w:lang w:val="id-ID"/>
        </w:rPr>
        <w:t>Trias Politica</w:t>
      </w:r>
      <w:r w:rsidRPr="008E418B">
        <w:rPr>
          <w:rFonts w:ascii="Times New Roman" w:hAnsi="Times New Roman"/>
          <w:sz w:val="18"/>
          <w:szCs w:val="18"/>
          <w:lang w:val="id-ID"/>
        </w:rPr>
        <w:t xml:space="preserve">. </w:t>
      </w:r>
    </w:p>
  </w:footnote>
  <w:footnote w:id="4">
    <w:p w:rsidR="007728F8" w:rsidRPr="008E418B" w:rsidRDefault="007728F8" w:rsidP="007728F8">
      <w:pPr>
        <w:pStyle w:val="FootnoteText"/>
        <w:jc w:val="both"/>
        <w:rPr>
          <w:rFonts w:ascii="Times New Roman" w:hAnsi="Times New Roman"/>
          <w:sz w:val="18"/>
          <w:szCs w:val="18"/>
        </w:rPr>
      </w:pPr>
      <w:r w:rsidRPr="008E418B">
        <w:rPr>
          <w:rStyle w:val="FootnoteReference"/>
          <w:rFonts w:ascii="Times New Roman" w:hAnsi="Times New Roman"/>
          <w:sz w:val="18"/>
          <w:szCs w:val="18"/>
        </w:rPr>
        <w:footnoteRef/>
      </w:r>
      <w:r w:rsidRPr="008E418B">
        <w:rPr>
          <w:rFonts w:ascii="Times New Roman" w:hAnsi="Times New Roman"/>
          <w:sz w:val="18"/>
          <w:szCs w:val="18"/>
        </w:rPr>
        <w:t xml:space="preserve"> Contoh Konstitusi Islam yang diterjemahkan dari </w:t>
      </w:r>
      <w:r w:rsidRPr="008E418B">
        <w:rPr>
          <w:rFonts w:ascii="Times New Roman" w:hAnsi="Times New Roman"/>
          <w:i/>
          <w:sz w:val="18"/>
          <w:szCs w:val="18"/>
        </w:rPr>
        <w:t>A Model of Islamic Constitution</w:t>
      </w:r>
      <w:r w:rsidRPr="008E418B">
        <w:rPr>
          <w:rFonts w:ascii="Times New Roman" w:hAnsi="Times New Roman"/>
          <w:sz w:val="18"/>
          <w:szCs w:val="18"/>
        </w:rPr>
        <w:t xml:space="preserve"> yang diterbitkan “</w:t>
      </w:r>
      <w:r w:rsidRPr="008E418B">
        <w:rPr>
          <w:rFonts w:ascii="Times New Roman" w:hAnsi="Times New Roman"/>
          <w:i/>
          <w:sz w:val="18"/>
          <w:szCs w:val="18"/>
        </w:rPr>
        <w:t>Islamic Council</w:t>
      </w:r>
      <w:r w:rsidRPr="008E418B">
        <w:rPr>
          <w:rFonts w:ascii="Times New Roman" w:hAnsi="Times New Roman"/>
          <w:sz w:val="18"/>
          <w:szCs w:val="18"/>
        </w:rPr>
        <w:t xml:space="preserve">” [Dewan Islam] Eropa. Lebih lengkap baca Ija Suntana, </w:t>
      </w:r>
      <w:r w:rsidRPr="008E418B">
        <w:rPr>
          <w:rFonts w:ascii="Times New Roman" w:hAnsi="Times New Roman"/>
          <w:i/>
          <w:sz w:val="18"/>
          <w:szCs w:val="18"/>
        </w:rPr>
        <w:t xml:space="preserve">Model Kekuasaan Legislatif Dalam Sistem Ketatanegaraan Islam, </w:t>
      </w:r>
      <w:r w:rsidRPr="008E418B">
        <w:rPr>
          <w:rFonts w:ascii="Times New Roman" w:hAnsi="Times New Roman"/>
          <w:sz w:val="18"/>
          <w:szCs w:val="18"/>
        </w:rPr>
        <w:t>Cet-I, Refika Aditama, (Bandung: 2007), hlm 121-138.</w:t>
      </w:r>
    </w:p>
  </w:footnote>
  <w:footnote w:id="5">
    <w:p w:rsidR="007728F8" w:rsidRPr="008E418B" w:rsidRDefault="007728F8" w:rsidP="007728F8">
      <w:pPr>
        <w:pStyle w:val="FootnoteText"/>
        <w:jc w:val="both"/>
        <w:rPr>
          <w:rFonts w:ascii="Times New Roman" w:hAnsi="Times New Roman"/>
          <w:sz w:val="18"/>
          <w:szCs w:val="18"/>
        </w:rPr>
      </w:pPr>
      <w:r w:rsidRPr="008E418B">
        <w:rPr>
          <w:rStyle w:val="FootnoteReference"/>
          <w:rFonts w:ascii="Times New Roman" w:hAnsi="Times New Roman"/>
          <w:sz w:val="18"/>
          <w:szCs w:val="18"/>
          <w:lang w:val="id-ID"/>
        </w:rPr>
        <w:footnoteRef/>
      </w:r>
      <w:r w:rsidRPr="008E418B">
        <w:rPr>
          <w:rFonts w:ascii="Times New Roman" w:hAnsi="Times New Roman"/>
          <w:sz w:val="18"/>
          <w:szCs w:val="18"/>
          <w:lang w:val="id-ID"/>
        </w:rPr>
        <w:t xml:space="preserve"> Mahkamah Agung pada saat itu dinamakan sebagai Balai Agung.</w:t>
      </w:r>
    </w:p>
  </w:footnote>
  <w:footnote w:id="6">
    <w:p w:rsidR="007728F8" w:rsidRPr="008E418B" w:rsidRDefault="007728F8" w:rsidP="007728F8">
      <w:pPr>
        <w:pStyle w:val="FootnoteText"/>
        <w:jc w:val="both"/>
        <w:rPr>
          <w:rFonts w:ascii="Times New Roman" w:hAnsi="Times New Roman"/>
          <w:sz w:val="18"/>
          <w:szCs w:val="18"/>
        </w:rPr>
      </w:pPr>
      <w:r w:rsidRPr="008E418B">
        <w:rPr>
          <w:rStyle w:val="FootnoteReference"/>
          <w:rFonts w:ascii="Times New Roman" w:hAnsi="Times New Roman"/>
          <w:sz w:val="18"/>
          <w:szCs w:val="18"/>
          <w:lang w:val="id-ID"/>
        </w:rPr>
        <w:footnoteRef/>
      </w:r>
      <w:r w:rsidRPr="008E418B">
        <w:rPr>
          <w:rFonts w:ascii="Times New Roman" w:hAnsi="Times New Roman"/>
          <w:sz w:val="18"/>
          <w:szCs w:val="18"/>
          <w:lang w:val="id-ID"/>
        </w:rPr>
        <w:t xml:space="preserve"> Achmad Syahrizal, Dalam Jurnal Konstitusi, Mahkamah Konstitusi Republik Indonesia, Vol.3, No.1, Februari 2006, hlm 125.</w:t>
      </w:r>
    </w:p>
  </w:footnote>
  <w:footnote w:id="7">
    <w:p w:rsidR="007728F8" w:rsidRPr="008E418B" w:rsidRDefault="007728F8" w:rsidP="007728F8">
      <w:pPr>
        <w:pStyle w:val="FootnoteText"/>
        <w:jc w:val="both"/>
        <w:rPr>
          <w:rFonts w:ascii="Times New Roman" w:hAnsi="Times New Roman"/>
          <w:sz w:val="18"/>
          <w:szCs w:val="18"/>
        </w:rPr>
      </w:pPr>
      <w:r w:rsidRPr="008E418B">
        <w:rPr>
          <w:rStyle w:val="FootnoteReference"/>
          <w:rFonts w:ascii="Times New Roman" w:hAnsi="Times New Roman"/>
          <w:sz w:val="18"/>
          <w:szCs w:val="18"/>
          <w:lang w:val="id-ID"/>
        </w:rPr>
        <w:footnoteRef/>
      </w:r>
      <w:r w:rsidRPr="008E418B">
        <w:rPr>
          <w:rFonts w:ascii="Times New Roman" w:hAnsi="Times New Roman"/>
          <w:sz w:val="18"/>
          <w:szCs w:val="18"/>
          <w:lang w:val="id-ID"/>
        </w:rPr>
        <w:t xml:space="preserve"> Pembelaan Soepomo dengan berlandaskan pada tiga prinsip yakni: </w:t>
      </w:r>
      <w:r w:rsidRPr="008E418B">
        <w:rPr>
          <w:rFonts w:ascii="Times New Roman" w:hAnsi="Times New Roman"/>
          <w:i/>
          <w:sz w:val="18"/>
          <w:szCs w:val="18"/>
          <w:lang w:val="id-ID"/>
        </w:rPr>
        <w:t>Pertama</w:t>
      </w:r>
      <w:r w:rsidRPr="008E418B">
        <w:rPr>
          <w:rFonts w:ascii="Times New Roman" w:hAnsi="Times New Roman"/>
          <w:sz w:val="18"/>
          <w:szCs w:val="18"/>
          <w:lang w:val="id-ID"/>
        </w:rPr>
        <w:t>; Negara Indonesia dibentuk bukan atas dasar pemisahan kekuasaan (</w:t>
      </w:r>
      <w:r w:rsidRPr="008E418B">
        <w:rPr>
          <w:rFonts w:ascii="Times New Roman" w:hAnsi="Times New Roman"/>
          <w:i/>
          <w:sz w:val="18"/>
          <w:szCs w:val="18"/>
          <w:lang w:val="id-ID"/>
        </w:rPr>
        <w:t>Sparation of power</w:t>
      </w:r>
      <w:r w:rsidRPr="008E418B">
        <w:rPr>
          <w:rFonts w:ascii="Times New Roman" w:hAnsi="Times New Roman"/>
          <w:sz w:val="18"/>
          <w:szCs w:val="18"/>
          <w:lang w:val="id-ID"/>
        </w:rPr>
        <w:t>) melainkan pembagian kekuasaan (</w:t>
      </w:r>
      <w:r w:rsidRPr="008E418B">
        <w:rPr>
          <w:rFonts w:ascii="Times New Roman" w:hAnsi="Times New Roman"/>
          <w:i/>
          <w:sz w:val="18"/>
          <w:szCs w:val="18"/>
          <w:lang w:val="id-ID"/>
        </w:rPr>
        <w:t>division of power</w:t>
      </w:r>
      <w:r w:rsidRPr="008E418B">
        <w:rPr>
          <w:rFonts w:ascii="Times New Roman" w:hAnsi="Times New Roman"/>
          <w:sz w:val="18"/>
          <w:szCs w:val="18"/>
          <w:lang w:val="id-ID"/>
        </w:rPr>
        <w:t xml:space="preserve">), </w:t>
      </w:r>
      <w:r w:rsidRPr="008E418B">
        <w:rPr>
          <w:rFonts w:ascii="Times New Roman" w:hAnsi="Times New Roman"/>
          <w:i/>
          <w:sz w:val="18"/>
          <w:szCs w:val="18"/>
          <w:lang w:val="id-ID"/>
        </w:rPr>
        <w:t>Kedua</w:t>
      </w:r>
      <w:r w:rsidRPr="008E418B">
        <w:rPr>
          <w:rFonts w:ascii="Times New Roman" w:hAnsi="Times New Roman"/>
          <w:sz w:val="18"/>
          <w:szCs w:val="18"/>
          <w:lang w:val="id-ID"/>
        </w:rPr>
        <w:t xml:space="preserve">; Tugas hakim menerapkan undang-undang, </w:t>
      </w:r>
      <w:r w:rsidRPr="008E418B">
        <w:rPr>
          <w:rFonts w:ascii="Times New Roman" w:hAnsi="Times New Roman"/>
          <w:i/>
          <w:sz w:val="18"/>
          <w:szCs w:val="18"/>
          <w:lang w:val="id-ID"/>
        </w:rPr>
        <w:t>Ketiga</w:t>
      </w:r>
      <w:r w:rsidRPr="008E418B">
        <w:rPr>
          <w:rFonts w:ascii="Times New Roman" w:hAnsi="Times New Roman"/>
          <w:sz w:val="18"/>
          <w:szCs w:val="18"/>
          <w:lang w:val="id-ID"/>
        </w:rPr>
        <w:t xml:space="preserve">; Bertentangan dengan supremasi Majelis Permusyawaratan Rakyat Republik Indonesia (MPR-RI). Lebih jelas lihat Achmad Roestandi, </w:t>
      </w:r>
      <w:r w:rsidRPr="008E418B">
        <w:rPr>
          <w:rFonts w:ascii="Times New Roman" w:hAnsi="Times New Roman"/>
          <w:i/>
          <w:sz w:val="18"/>
          <w:szCs w:val="18"/>
          <w:lang w:val="id-ID"/>
        </w:rPr>
        <w:t>Mahkamah Konstitusi Dalam Tanya Jawab,</w:t>
      </w:r>
      <w:r w:rsidRPr="008E418B">
        <w:rPr>
          <w:rFonts w:ascii="Times New Roman" w:hAnsi="Times New Roman"/>
          <w:sz w:val="18"/>
          <w:szCs w:val="18"/>
          <w:lang w:val="id-ID"/>
        </w:rPr>
        <w:t xml:space="preserve"> Sekertariat Jenderal dan Kepaniteraan Mahkamah Konstitusi Republik Indonesia, (Jakarta: 2006), hlm 2.</w:t>
      </w:r>
    </w:p>
  </w:footnote>
  <w:footnote w:id="8">
    <w:p w:rsidR="007728F8" w:rsidRPr="008E418B" w:rsidRDefault="007728F8" w:rsidP="007728F8">
      <w:pPr>
        <w:pStyle w:val="FootnoteText"/>
        <w:jc w:val="both"/>
        <w:rPr>
          <w:rFonts w:ascii="Times New Roman" w:hAnsi="Times New Roman"/>
          <w:sz w:val="18"/>
          <w:szCs w:val="18"/>
        </w:rPr>
      </w:pPr>
      <w:r w:rsidRPr="008E418B">
        <w:rPr>
          <w:rStyle w:val="FootnoteReference"/>
          <w:rFonts w:ascii="Times New Roman" w:hAnsi="Times New Roman"/>
          <w:sz w:val="18"/>
          <w:szCs w:val="18"/>
          <w:lang w:val="id-ID"/>
        </w:rPr>
        <w:footnoteRef/>
      </w:r>
      <w:r w:rsidRPr="008E418B">
        <w:rPr>
          <w:rFonts w:ascii="Times New Roman" w:hAnsi="Times New Roman"/>
          <w:sz w:val="18"/>
          <w:szCs w:val="18"/>
          <w:lang w:val="id-ID"/>
        </w:rPr>
        <w:t xml:space="preserve"> Memang benar pada saat fase Konstitusi Weimar 1919-1933, namun kegagalan konstitusi tersebut bukan tidak ada yang berkompeten melainkan dinodai oleh pengambilalihan kekuasaan oleh Hitler. Lebih lanjut dikatakan bahwa Konstitusi Weimar merupakan peluang emas bagi realisasi demokrasi Jerman. B.N. Marbun, </w:t>
      </w:r>
      <w:r w:rsidRPr="008E418B">
        <w:rPr>
          <w:rFonts w:ascii="Times New Roman" w:hAnsi="Times New Roman"/>
          <w:i/>
          <w:sz w:val="18"/>
          <w:szCs w:val="18"/>
          <w:lang w:val="id-ID"/>
        </w:rPr>
        <w:t>Demokrasi Jerman Perkembangan dan Permasalahannya</w:t>
      </w:r>
      <w:r w:rsidRPr="008E418B">
        <w:rPr>
          <w:rFonts w:ascii="Times New Roman" w:hAnsi="Times New Roman"/>
          <w:sz w:val="18"/>
          <w:szCs w:val="18"/>
          <w:lang w:val="id-ID"/>
        </w:rPr>
        <w:t>, Cet-I, Sinar Harapan, (Jakarta: 1983), hlm. 26.</w:t>
      </w:r>
    </w:p>
  </w:footnote>
  <w:footnote w:id="9">
    <w:p w:rsidR="005D0B30" w:rsidRPr="008E418B" w:rsidRDefault="005D0B30" w:rsidP="005D0B30">
      <w:pPr>
        <w:pStyle w:val="FootnoteText"/>
        <w:jc w:val="both"/>
        <w:rPr>
          <w:rFonts w:ascii="Times New Roman" w:hAnsi="Times New Roman"/>
          <w:sz w:val="18"/>
          <w:szCs w:val="18"/>
        </w:rPr>
      </w:pPr>
      <w:r w:rsidRPr="008E418B">
        <w:rPr>
          <w:rStyle w:val="FootnoteReference"/>
          <w:rFonts w:ascii="Times New Roman" w:hAnsi="Times New Roman"/>
          <w:sz w:val="18"/>
          <w:szCs w:val="18"/>
        </w:rPr>
        <w:footnoteRef/>
      </w:r>
      <w:r w:rsidRPr="008E418B">
        <w:rPr>
          <w:rFonts w:ascii="Times New Roman" w:hAnsi="Times New Roman"/>
          <w:sz w:val="18"/>
          <w:szCs w:val="18"/>
        </w:rPr>
        <w:t xml:space="preserve"> Lihat Bab IX UUD 1945  Pasal 24 Ayat (2) Amandemen ketiga tentang Kekuasaan Kehakiman yang berbunyi “Kekuasaan kehakiman dilakukan oleh sebuah Mahkamah Agung dan badan peradilan yang dibawahnya dalam lingkungan peradilan umum, lingkungan peradilan agama, lingkungan peradilan militer, lingkungan peradilan tata usaha negara, dan oleh sebuah Mahkamah Konstitusi. </w:t>
      </w:r>
    </w:p>
  </w:footnote>
  <w:footnote w:id="10">
    <w:p w:rsidR="005D0B30" w:rsidRPr="008E418B" w:rsidRDefault="005D0B30" w:rsidP="005D0B30">
      <w:pPr>
        <w:pStyle w:val="FootnoteText"/>
        <w:jc w:val="both"/>
        <w:rPr>
          <w:rFonts w:ascii="Times New Roman" w:hAnsi="Times New Roman"/>
          <w:sz w:val="18"/>
          <w:szCs w:val="18"/>
        </w:rPr>
      </w:pPr>
      <w:r w:rsidRPr="008E418B">
        <w:rPr>
          <w:rStyle w:val="FootnoteReference"/>
          <w:rFonts w:ascii="Times New Roman" w:hAnsi="Times New Roman"/>
          <w:sz w:val="18"/>
          <w:szCs w:val="18"/>
          <w:lang w:val="id-ID"/>
        </w:rPr>
        <w:footnoteRef/>
      </w:r>
      <w:r w:rsidRPr="008E418B">
        <w:rPr>
          <w:rFonts w:ascii="Times New Roman" w:hAnsi="Times New Roman"/>
          <w:sz w:val="18"/>
          <w:szCs w:val="18"/>
          <w:lang w:val="id-ID"/>
        </w:rPr>
        <w:t xml:space="preserve"> </w:t>
      </w:r>
      <w:r w:rsidRPr="008E418B">
        <w:rPr>
          <w:rFonts w:ascii="Times New Roman" w:hAnsi="Times New Roman"/>
          <w:i/>
          <w:sz w:val="18"/>
          <w:szCs w:val="18"/>
          <w:lang w:val="id-ID"/>
        </w:rPr>
        <w:t>Supreme Court</w:t>
      </w:r>
      <w:r w:rsidRPr="008E418B">
        <w:rPr>
          <w:rFonts w:ascii="Times New Roman" w:hAnsi="Times New Roman"/>
          <w:sz w:val="18"/>
          <w:szCs w:val="18"/>
          <w:lang w:val="id-ID"/>
        </w:rPr>
        <w:t xml:space="preserve"> merupakan lembaga pengadilan yang di Indonesia sering disebut atau dinamakan Mahkamah Agung.</w:t>
      </w:r>
    </w:p>
  </w:footnote>
  <w:footnote w:id="11">
    <w:p w:rsidR="005D0B30" w:rsidRPr="008E418B" w:rsidRDefault="005D0B30" w:rsidP="005D0B30">
      <w:pPr>
        <w:pStyle w:val="FootnoteText"/>
        <w:jc w:val="both"/>
        <w:rPr>
          <w:rFonts w:ascii="Times New Roman" w:hAnsi="Times New Roman"/>
          <w:sz w:val="18"/>
          <w:szCs w:val="18"/>
        </w:rPr>
      </w:pPr>
      <w:r w:rsidRPr="008E418B">
        <w:rPr>
          <w:rStyle w:val="FootnoteReference"/>
          <w:rFonts w:ascii="Times New Roman" w:hAnsi="Times New Roman"/>
          <w:sz w:val="18"/>
          <w:szCs w:val="18"/>
          <w:lang w:val="id-ID"/>
        </w:rPr>
        <w:footnoteRef/>
      </w:r>
      <w:r w:rsidRPr="008E418B">
        <w:rPr>
          <w:rFonts w:ascii="Times New Roman" w:hAnsi="Times New Roman"/>
          <w:sz w:val="18"/>
          <w:szCs w:val="18"/>
          <w:lang w:val="id-ID"/>
        </w:rPr>
        <w:t xml:space="preserve"> Lebih jelas lihat UUD 1945 hasil amandemen ketiga terkait dengan tugas dan kewenangan Mahkamah Konstitusi Republik Indonesia.</w:t>
      </w:r>
    </w:p>
  </w:footnote>
  <w:footnote w:id="12">
    <w:p w:rsidR="005D0B30" w:rsidRPr="008E418B" w:rsidRDefault="005D0B30" w:rsidP="005D0B30">
      <w:pPr>
        <w:pStyle w:val="FootnoteText"/>
        <w:jc w:val="both"/>
        <w:rPr>
          <w:rFonts w:ascii="Times New Roman" w:hAnsi="Times New Roman"/>
          <w:sz w:val="18"/>
          <w:szCs w:val="18"/>
        </w:rPr>
      </w:pPr>
      <w:r w:rsidRPr="008E418B">
        <w:rPr>
          <w:rStyle w:val="FootnoteReference"/>
          <w:rFonts w:ascii="Times New Roman" w:hAnsi="Times New Roman"/>
          <w:sz w:val="18"/>
          <w:szCs w:val="18"/>
          <w:lang w:val="id-ID"/>
        </w:rPr>
        <w:footnoteRef/>
      </w:r>
      <w:r w:rsidRPr="008E418B">
        <w:rPr>
          <w:rFonts w:ascii="Times New Roman" w:hAnsi="Times New Roman"/>
          <w:sz w:val="18"/>
          <w:szCs w:val="18"/>
          <w:lang w:val="id-ID"/>
        </w:rPr>
        <w:t xml:space="preserve"> Lebi lanjut perbedaan keduanya baca Ade Maman Suherman, </w:t>
      </w:r>
      <w:r w:rsidRPr="008E418B">
        <w:rPr>
          <w:rFonts w:ascii="Times New Roman" w:hAnsi="Times New Roman"/>
          <w:i/>
          <w:sz w:val="18"/>
          <w:szCs w:val="18"/>
          <w:lang w:val="id-ID"/>
        </w:rPr>
        <w:t>Pengantar Perbandingan Sistem Hukum Civil Law, Common Law, Hukum Islam,</w:t>
      </w:r>
      <w:r w:rsidRPr="008E418B">
        <w:rPr>
          <w:rFonts w:ascii="Times New Roman" w:hAnsi="Times New Roman"/>
          <w:sz w:val="18"/>
          <w:szCs w:val="18"/>
          <w:lang w:val="id-ID"/>
        </w:rPr>
        <w:t xml:space="preserve"> PT. RajaGrafindo Persada, (Jakarta: 2004), hlm 55-95.</w:t>
      </w:r>
    </w:p>
  </w:footnote>
  <w:footnote w:id="13">
    <w:p w:rsidR="005D0B30" w:rsidRPr="008E418B" w:rsidRDefault="005D0B30" w:rsidP="005D0B30">
      <w:pPr>
        <w:pStyle w:val="FootnoteText"/>
        <w:jc w:val="both"/>
        <w:rPr>
          <w:rFonts w:ascii="Times New Roman" w:hAnsi="Times New Roman"/>
          <w:sz w:val="18"/>
          <w:szCs w:val="18"/>
        </w:rPr>
      </w:pPr>
      <w:r w:rsidRPr="008E418B">
        <w:rPr>
          <w:rStyle w:val="FootnoteReference"/>
          <w:rFonts w:ascii="Times New Roman" w:hAnsi="Times New Roman"/>
          <w:sz w:val="18"/>
          <w:szCs w:val="18"/>
          <w:lang w:val="id-ID"/>
        </w:rPr>
        <w:footnoteRef/>
      </w:r>
      <w:r w:rsidRPr="008E418B">
        <w:rPr>
          <w:rFonts w:ascii="Times New Roman" w:hAnsi="Times New Roman"/>
          <w:sz w:val="18"/>
          <w:szCs w:val="18"/>
          <w:lang w:val="id-ID"/>
        </w:rPr>
        <w:t xml:space="preserve"> Dikarenakan Amerika Serikat tidak memiliki </w:t>
      </w:r>
      <w:r w:rsidRPr="008E418B">
        <w:rPr>
          <w:rFonts w:ascii="Times New Roman" w:hAnsi="Times New Roman"/>
          <w:i/>
          <w:sz w:val="18"/>
          <w:szCs w:val="18"/>
          <w:lang w:val="id-ID"/>
        </w:rPr>
        <w:t>Contitutional Court</w:t>
      </w:r>
      <w:r w:rsidRPr="008E418B">
        <w:rPr>
          <w:rFonts w:ascii="Times New Roman" w:hAnsi="Times New Roman"/>
          <w:sz w:val="18"/>
          <w:szCs w:val="18"/>
          <w:lang w:val="id-ID"/>
        </w:rPr>
        <w:t xml:space="preserve"> secara khusus maka pengujian dilakukan oleh </w:t>
      </w:r>
      <w:r w:rsidRPr="008E418B">
        <w:rPr>
          <w:rFonts w:ascii="Times New Roman" w:hAnsi="Times New Roman"/>
          <w:i/>
          <w:sz w:val="18"/>
          <w:szCs w:val="18"/>
          <w:lang w:val="id-ID"/>
        </w:rPr>
        <w:t>Supreme Court</w:t>
      </w:r>
      <w:r w:rsidRPr="008E418B">
        <w:rPr>
          <w:rFonts w:ascii="Times New Roman" w:hAnsi="Times New Roman"/>
          <w:sz w:val="18"/>
          <w:szCs w:val="18"/>
          <w:lang w:val="id-ID"/>
        </w:rPr>
        <w:t>, untuk lebih lanjut lihat konstitusi Amerika Serikat.</w:t>
      </w:r>
    </w:p>
  </w:footnote>
  <w:footnote w:id="14">
    <w:p w:rsidR="005D0B30" w:rsidRPr="008E418B" w:rsidRDefault="005D0B30" w:rsidP="005D0B30">
      <w:pPr>
        <w:pStyle w:val="FootnoteText"/>
        <w:rPr>
          <w:rFonts w:ascii="Times New Roman" w:hAnsi="Times New Roman"/>
          <w:sz w:val="18"/>
          <w:szCs w:val="18"/>
        </w:rPr>
      </w:pPr>
      <w:r w:rsidRPr="008E418B">
        <w:rPr>
          <w:rStyle w:val="FootnoteReference"/>
          <w:rFonts w:ascii="Times New Roman" w:hAnsi="Times New Roman"/>
          <w:sz w:val="18"/>
          <w:szCs w:val="18"/>
        </w:rPr>
        <w:footnoteRef/>
      </w:r>
      <w:r w:rsidRPr="008E418B">
        <w:rPr>
          <w:rFonts w:ascii="Times New Roman" w:hAnsi="Times New Roman"/>
          <w:sz w:val="18"/>
          <w:szCs w:val="18"/>
        </w:rPr>
        <w:t xml:space="preserve"> Lihat Pasl 35 A Model Islamic Constitution. Lihat juga Pasal 36 huruf (a) dan (b) A Model Islamic Constitution. </w:t>
      </w:r>
    </w:p>
  </w:footnote>
  <w:footnote w:id="15">
    <w:p w:rsidR="005D0B30" w:rsidRPr="008E418B" w:rsidRDefault="005D0B30" w:rsidP="005D0B30">
      <w:pPr>
        <w:pStyle w:val="FootnoteText"/>
        <w:jc w:val="both"/>
        <w:rPr>
          <w:rFonts w:ascii="Times New Roman" w:hAnsi="Times New Roman"/>
          <w:sz w:val="18"/>
          <w:szCs w:val="18"/>
        </w:rPr>
      </w:pPr>
      <w:r w:rsidRPr="008E418B">
        <w:rPr>
          <w:rStyle w:val="FootnoteReference"/>
          <w:rFonts w:ascii="Times New Roman" w:hAnsi="Times New Roman"/>
          <w:sz w:val="18"/>
          <w:szCs w:val="18"/>
          <w:lang w:val="id-ID"/>
        </w:rPr>
        <w:footnoteRef/>
      </w:r>
      <w:r w:rsidRPr="008E418B">
        <w:rPr>
          <w:rFonts w:ascii="Times New Roman" w:hAnsi="Times New Roman"/>
          <w:sz w:val="18"/>
          <w:szCs w:val="18"/>
          <w:lang w:val="id-ID"/>
        </w:rPr>
        <w:t xml:space="preserve"> Sejak tahun 1950-an berdiri peradilan pajak dan pabean yang oleh Henry J. Abraham dikategorikan sebagai </w:t>
      </w:r>
      <w:r w:rsidRPr="008E418B">
        <w:rPr>
          <w:rFonts w:ascii="Times New Roman" w:hAnsi="Times New Roman"/>
          <w:i/>
          <w:sz w:val="18"/>
          <w:szCs w:val="18"/>
          <w:lang w:val="id-ID"/>
        </w:rPr>
        <w:t>Contitutional Court</w:t>
      </w:r>
      <w:r w:rsidRPr="008E418B">
        <w:rPr>
          <w:rFonts w:ascii="Times New Roman" w:hAnsi="Times New Roman"/>
          <w:sz w:val="18"/>
          <w:szCs w:val="18"/>
          <w:lang w:val="id-ID"/>
        </w:rPr>
        <w:t xml:space="preserve"> lebih lanjut lihat Sarip, </w:t>
      </w:r>
      <w:r w:rsidRPr="008E418B">
        <w:rPr>
          <w:rFonts w:ascii="Times New Roman" w:hAnsi="Times New Roman"/>
          <w:i/>
          <w:sz w:val="18"/>
          <w:szCs w:val="18"/>
          <w:lang w:val="id-ID"/>
        </w:rPr>
        <w:t>Loc.Cit,</w:t>
      </w:r>
      <w:r w:rsidRPr="008E418B">
        <w:rPr>
          <w:rFonts w:ascii="Times New Roman" w:hAnsi="Times New Roman"/>
          <w:sz w:val="18"/>
          <w:szCs w:val="18"/>
          <w:lang w:val="id-ID"/>
        </w:rPr>
        <w:t xml:space="preserve"> hlm 442.</w:t>
      </w:r>
    </w:p>
  </w:footnote>
  <w:footnote w:id="16">
    <w:p w:rsidR="005D0B30" w:rsidRPr="008E418B" w:rsidRDefault="005D0B30" w:rsidP="005D0B30">
      <w:pPr>
        <w:pStyle w:val="FootnoteText"/>
        <w:jc w:val="both"/>
        <w:rPr>
          <w:rFonts w:ascii="Times New Roman" w:hAnsi="Times New Roman"/>
          <w:sz w:val="18"/>
          <w:szCs w:val="18"/>
        </w:rPr>
      </w:pPr>
      <w:r w:rsidRPr="008E418B">
        <w:rPr>
          <w:rStyle w:val="FootnoteReference"/>
          <w:rFonts w:ascii="Times New Roman" w:hAnsi="Times New Roman"/>
          <w:sz w:val="18"/>
          <w:szCs w:val="18"/>
          <w:lang w:val="id-ID"/>
        </w:rPr>
        <w:footnoteRef/>
      </w:r>
      <w:r w:rsidRPr="008E418B">
        <w:rPr>
          <w:rFonts w:ascii="Times New Roman" w:hAnsi="Times New Roman"/>
          <w:sz w:val="18"/>
          <w:szCs w:val="18"/>
          <w:lang w:val="id-ID"/>
        </w:rPr>
        <w:t xml:space="preserve"> Hans Kelsen untuk pertamakalinya berhasil mengadopsi ke dalam rumusan Konstitusi Austria, Jimly Asshiddiqie, Format Kelembagaan Negara dan Pergeseran Dalam UUD 1945, FH UII Press, Cet-2, (Yogyakarta: 2005), hlm. 22.</w:t>
      </w:r>
    </w:p>
  </w:footnote>
  <w:footnote w:id="17">
    <w:p w:rsidR="005D0B30" w:rsidRPr="008E418B" w:rsidRDefault="005D0B30" w:rsidP="005D0B30">
      <w:pPr>
        <w:pStyle w:val="FootnoteText"/>
        <w:jc w:val="both"/>
        <w:rPr>
          <w:rFonts w:ascii="Times New Roman" w:hAnsi="Times New Roman"/>
          <w:sz w:val="18"/>
          <w:szCs w:val="18"/>
        </w:rPr>
      </w:pPr>
      <w:r w:rsidRPr="008E418B">
        <w:rPr>
          <w:rStyle w:val="FootnoteReference"/>
          <w:rFonts w:ascii="Times New Roman" w:hAnsi="Times New Roman"/>
          <w:sz w:val="18"/>
          <w:szCs w:val="18"/>
          <w:lang w:val="id-ID"/>
        </w:rPr>
        <w:footnoteRef/>
      </w:r>
      <w:r w:rsidRPr="008E418B">
        <w:rPr>
          <w:rFonts w:ascii="Times New Roman" w:hAnsi="Times New Roman"/>
          <w:sz w:val="18"/>
          <w:szCs w:val="18"/>
          <w:lang w:val="id-ID"/>
        </w:rPr>
        <w:t xml:space="preserve"> Kemungkinan besar di Indonesia ide tersebut, terealisasi dengan adanya penyelesaian sengketa lembaga negara  oleh </w:t>
      </w:r>
      <w:r w:rsidRPr="008E418B">
        <w:rPr>
          <w:rFonts w:ascii="Times New Roman" w:hAnsi="Times New Roman"/>
          <w:i/>
          <w:sz w:val="18"/>
          <w:szCs w:val="18"/>
          <w:lang w:val="id-ID"/>
        </w:rPr>
        <w:t>Constitutional Court,</w:t>
      </w:r>
      <w:r w:rsidRPr="008E418B">
        <w:rPr>
          <w:rFonts w:ascii="Times New Roman" w:hAnsi="Times New Roman"/>
          <w:sz w:val="18"/>
          <w:szCs w:val="18"/>
          <w:lang w:val="id-ID"/>
        </w:rPr>
        <w:t xml:space="preserve"> lihat Pasal 24C UUD 1945 hasil Perubahan Ketiga.</w:t>
      </w:r>
    </w:p>
  </w:footnote>
  <w:footnote w:id="18">
    <w:p w:rsidR="005D0B30" w:rsidRPr="008E418B" w:rsidRDefault="005D0B30" w:rsidP="005D0B30">
      <w:pPr>
        <w:pStyle w:val="FootnoteText"/>
        <w:jc w:val="both"/>
        <w:rPr>
          <w:rFonts w:ascii="Times New Roman" w:hAnsi="Times New Roman"/>
          <w:sz w:val="18"/>
          <w:szCs w:val="18"/>
        </w:rPr>
      </w:pPr>
      <w:r w:rsidRPr="008E418B">
        <w:rPr>
          <w:rStyle w:val="FootnoteReference"/>
          <w:rFonts w:ascii="Times New Roman" w:hAnsi="Times New Roman"/>
          <w:sz w:val="18"/>
          <w:szCs w:val="18"/>
          <w:lang w:val="id-ID"/>
        </w:rPr>
        <w:footnoteRef/>
      </w:r>
      <w:r w:rsidRPr="008E418B">
        <w:rPr>
          <w:rFonts w:ascii="Times New Roman" w:hAnsi="Times New Roman"/>
          <w:sz w:val="18"/>
          <w:szCs w:val="18"/>
          <w:lang w:val="id-ID"/>
        </w:rPr>
        <w:t xml:space="preserve"> Alfred Rinken dan Rinken Bismark sebagaimana dikutif oleh Achmad Syahrizal dalam Jurnal Konstitusi, Vol.3, No.1, Februari 2006, hlm. 126.</w:t>
      </w:r>
    </w:p>
  </w:footnote>
  <w:footnote w:id="19">
    <w:p w:rsidR="005D0B30" w:rsidRPr="008E418B" w:rsidRDefault="005D0B30" w:rsidP="005D0B30">
      <w:pPr>
        <w:pStyle w:val="FootnoteText"/>
        <w:jc w:val="both"/>
        <w:rPr>
          <w:rFonts w:ascii="Times New Roman" w:hAnsi="Times New Roman"/>
          <w:sz w:val="18"/>
          <w:szCs w:val="18"/>
        </w:rPr>
      </w:pPr>
      <w:r w:rsidRPr="008E418B">
        <w:rPr>
          <w:rStyle w:val="FootnoteReference"/>
          <w:rFonts w:ascii="Times New Roman" w:hAnsi="Times New Roman"/>
          <w:sz w:val="18"/>
          <w:szCs w:val="18"/>
          <w:lang w:val="id-ID"/>
        </w:rPr>
        <w:footnoteRef/>
      </w:r>
      <w:r w:rsidRPr="008E418B">
        <w:rPr>
          <w:rFonts w:ascii="Times New Roman" w:hAnsi="Times New Roman"/>
          <w:sz w:val="18"/>
          <w:szCs w:val="18"/>
          <w:lang w:val="id-ID"/>
        </w:rPr>
        <w:t xml:space="preserve"> Hal ini sering dikaitkan dengan keberhasilan Hitler, berkat kepandaian berpidato dan disiplin membuat Hitler popular dan belum diimbangi matangnya demokrasi di Jerman. B.N. Marbun, </w:t>
      </w:r>
      <w:r w:rsidRPr="008E418B">
        <w:rPr>
          <w:rFonts w:ascii="Times New Roman" w:hAnsi="Times New Roman"/>
          <w:i/>
          <w:sz w:val="18"/>
          <w:szCs w:val="18"/>
          <w:lang w:val="id-ID"/>
        </w:rPr>
        <w:t>Op.Cit</w:t>
      </w:r>
      <w:r w:rsidRPr="008E418B">
        <w:rPr>
          <w:rFonts w:ascii="Times New Roman" w:hAnsi="Times New Roman"/>
          <w:sz w:val="18"/>
          <w:szCs w:val="18"/>
          <w:lang w:val="id-ID"/>
        </w:rPr>
        <w:t>, hlm. 49.</w:t>
      </w:r>
    </w:p>
  </w:footnote>
  <w:footnote w:id="20">
    <w:p w:rsidR="005D0B30" w:rsidRPr="008E418B" w:rsidRDefault="005D0B30" w:rsidP="005D0B30">
      <w:pPr>
        <w:pStyle w:val="FootnoteText"/>
        <w:jc w:val="both"/>
        <w:rPr>
          <w:rFonts w:ascii="Times New Roman" w:hAnsi="Times New Roman"/>
          <w:sz w:val="18"/>
          <w:szCs w:val="18"/>
        </w:rPr>
      </w:pPr>
      <w:r w:rsidRPr="008E418B">
        <w:rPr>
          <w:rStyle w:val="FootnoteReference"/>
          <w:rFonts w:ascii="Times New Roman" w:hAnsi="Times New Roman"/>
          <w:sz w:val="18"/>
          <w:szCs w:val="18"/>
          <w:lang w:val="id-ID"/>
        </w:rPr>
        <w:footnoteRef/>
      </w:r>
      <w:r w:rsidRPr="008E418B">
        <w:rPr>
          <w:rFonts w:ascii="Times New Roman" w:hAnsi="Times New Roman"/>
          <w:sz w:val="18"/>
          <w:szCs w:val="18"/>
          <w:lang w:val="id-ID"/>
        </w:rPr>
        <w:t xml:space="preserve"> Ide Immanuel Kant yang sangat dikenal adalah tentang pembentukan negara dunia, bagitu juga tentang tujuan negara terkait dengan keamanan dan ketertiban masyarakat dengan argumentasi bahwa Negara saat itu banyak mengalami kekacauan.</w:t>
      </w:r>
    </w:p>
  </w:footnote>
  <w:footnote w:id="21">
    <w:p w:rsidR="005D0B30" w:rsidRPr="008E418B" w:rsidRDefault="005D0B30" w:rsidP="005D0B30">
      <w:pPr>
        <w:pStyle w:val="FootnoteText"/>
        <w:jc w:val="both"/>
        <w:rPr>
          <w:rFonts w:ascii="Times New Roman" w:hAnsi="Times New Roman"/>
          <w:sz w:val="18"/>
          <w:szCs w:val="18"/>
        </w:rPr>
      </w:pPr>
      <w:r w:rsidRPr="008E418B">
        <w:rPr>
          <w:rStyle w:val="FootnoteReference"/>
          <w:rFonts w:ascii="Times New Roman" w:hAnsi="Times New Roman"/>
          <w:sz w:val="18"/>
          <w:szCs w:val="18"/>
          <w:lang w:val="id-ID"/>
        </w:rPr>
        <w:footnoteRef/>
      </w:r>
      <w:r w:rsidRPr="008E418B">
        <w:rPr>
          <w:rFonts w:ascii="Times New Roman" w:hAnsi="Times New Roman"/>
          <w:sz w:val="18"/>
          <w:szCs w:val="18"/>
          <w:lang w:val="id-ID"/>
        </w:rPr>
        <w:t xml:space="preserve"> Sarip, </w:t>
      </w:r>
      <w:r w:rsidRPr="008E418B">
        <w:rPr>
          <w:rFonts w:ascii="Times New Roman" w:hAnsi="Times New Roman"/>
          <w:i/>
          <w:sz w:val="18"/>
          <w:szCs w:val="18"/>
          <w:lang w:val="id-ID"/>
        </w:rPr>
        <w:t>Op. Cit</w:t>
      </w:r>
      <w:r w:rsidRPr="008E418B">
        <w:rPr>
          <w:rFonts w:ascii="Times New Roman" w:hAnsi="Times New Roman"/>
          <w:sz w:val="18"/>
          <w:szCs w:val="18"/>
          <w:lang w:val="id-ID"/>
        </w:rPr>
        <w:t>, hlm. 67.</w:t>
      </w:r>
    </w:p>
  </w:footnote>
  <w:footnote w:id="22">
    <w:p w:rsidR="005D0B30" w:rsidRPr="008E418B" w:rsidRDefault="005D0B30" w:rsidP="005D0B30">
      <w:pPr>
        <w:pStyle w:val="FootnoteText"/>
        <w:jc w:val="both"/>
        <w:rPr>
          <w:rFonts w:ascii="Times New Roman" w:hAnsi="Times New Roman"/>
          <w:sz w:val="18"/>
          <w:szCs w:val="18"/>
        </w:rPr>
      </w:pPr>
      <w:r w:rsidRPr="008E418B">
        <w:rPr>
          <w:rStyle w:val="FootnoteReference"/>
          <w:rFonts w:ascii="Times New Roman" w:hAnsi="Times New Roman"/>
          <w:sz w:val="18"/>
          <w:szCs w:val="18"/>
          <w:lang w:val="id-ID"/>
        </w:rPr>
        <w:footnoteRef/>
      </w:r>
      <w:r w:rsidRPr="008E418B">
        <w:rPr>
          <w:rFonts w:ascii="Times New Roman" w:hAnsi="Times New Roman"/>
          <w:sz w:val="18"/>
          <w:szCs w:val="18"/>
          <w:lang w:val="id-ID"/>
        </w:rPr>
        <w:t xml:space="preserve"> Konsep </w:t>
      </w:r>
      <w:r w:rsidRPr="008E418B">
        <w:rPr>
          <w:rFonts w:ascii="Times New Roman" w:hAnsi="Times New Roman"/>
          <w:i/>
          <w:sz w:val="18"/>
          <w:szCs w:val="18"/>
          <w:lang w:val="id-ID"/>
        </w:rPr>
        <w:t xml:space="preserve">rechtsstaat </w:t>
      </w:r>
      <w:r w:rsidRPr="008E418B">
        <w:rPr>
          <w:rFonts w:ascii="Times New Roman" w:hAnsi="Times New Roman"/>
          <w:sz w:val="18"/>
          <w:szCs w:val="18"/>
          <w:lang w:val="id-ID"/>
        </w:rPr>
        <w:t xml:space="preserve">saat sekarang setelah perubahan UUD 1945 tidak lagi membedakan secara tajam apakah Indonesia condong ke </w:t>
      </w:r>
      <w:r w:rsidRPr="008E418B">
        <w:rPr>
          <w:rFonts w:ascii="Times New Roman" w:hAnsi="Times New Roman"/>
          <w:i/>
          <w:sz w:val="18"/>
          <w:szCs w:val="18"/>
          <w:lang w:val="id-ID"/>
        </w:rPr>
        <w:t>rechtsstaat atau rule of law</w:t>
      </w:r>
      <w:r w:rsidRPr="008E418B">
        <w:rPr>
          <w:rFonts w:ascii="Times New Roman" w:hAnsi="Times New Roman"/>
          <w:sz w:val="18"/>
          <w:szCs w:val="18"/>
          <w:lang w:val="id-ID"/>
        </w:rPr>
        <w:t xml:space="preserve"> tapi hanya menggunakan negara hukum saja. Lebih jelas lihat UUD 1945 hasil perubahan.</w:t>
      </w:r>
    </w:p>
  </w:footnote>
  <w:footnote w:id="23">
    <w:p w:rsidR="005D0B30" w:rsidRPr="008E418B" w:rsidRDefault="005D0B30" w:rsidP="005D0B30">
      <w:pPr>
        <w:pStyle w:val="FootnoteText"/>
        <w:jc w:val="both"/>
        <w:rPr>
          <w:rFonts w:ascii="Times New Roman" w:hAnsi="Times New Roman"/>
          <w:sz w:val="18"/>
          <w:szCs w:val="18"/>
        </w:rPr>
      </w:pPr>
      <w:r w:rsidRPr="008E418B">
        <w:rPr>
          <w:rStyle w:val="FootnoteReference"/>
          <w:rFonts w:ascii="Times New Roman" w:hAnsi="Times New Roman"/>
          <w:sz w:val="18"/>
          <w:szCs w:val="18"/>
          <w:lang w:val="id-ID"/>
        </w:rPr>
        <w:footnoteRef/>
      </w:r>
      <w:r w:rsidRPr="008E418B">
        <w:rPr>
          <w:rFonts w:ascii="Times New Roman" w:hAnsi="Times New Roman"/>
          <w:sz w:val="18"/>
          <w:szCs w:val="18"/>
          <w:lang w:val="id-ID"/>
        </w:rPr>
        <w:t xml:space="preserve"> Bandingkan dengan pendapat Satjipto Rahardjo, </w:t>
      </w:r>
      <w:r w:rsidRPr="008E418B">
        <w:rPr>
          <w:rFonts w:ascii="Times New Roman" w:hAnsi="Times New Roman"/>
          <w:i/>
          <w:sz w:val="18"/>
          <w:szCs w:val="18"/>
          <w:lang w:val="id-ID"/>
        </w:rPr>
        <w:t>Ilmu Hukum</w:t>
      </w:r>
      <w:r w:rsidRPr="008E418B">
        <w:rPr>
          <w:rFonts w:ascii="Times New Roman" w:hAnsi="Times New Roman"/>
          <w:sz w:val="18"/>
          <w:szCs w:val="18"/>
          <w:lang w:val="id-ID"/>
        </w:rPr>
        <w:t xml:space="preserve">, Citra Aditya Bakti, (Bandung : 2000), hlm. 13. </w:t>
      </w:r>
    </w:p>
  </w:footnote>
  <w:footnote w:id="24">
    <w:p w:rsidR="005D0B30" w:rsidRPr="008E418B" w:rsidRDefault="005D0B30" w:rsidP="005D0B30">
      <w:pPr>
        <w:pStyle w:val="FootnoteText"/>
        <w:jc w:val="both"/>
        <w:rPr>
          <w:rFonts w:ascii="Times New Roman" w:hAnsi="Times New Roman"/>
          <w:sz w:val="18"/>
          <w:szCs w:val="18"/>
        </w:rPr>
      </w:pPr>
      <w:r w:rsidRPr="008E418B">
        <w:rPr>
          <w:rStyle w:val="FootnoteReference"/>
          <w:rFonts w:ascii="Times New Roman" w:hAnsi="Times New Roman"/>
          <w:sz w:val="18"/>
          <w:szCs w:val="18"/>
          <w:lang w:val="id-ID"/>
        </w:rPr>
        <w:footnoteRef/>
      </w:r>
      <w:r w:rsidRPr="008E418B">
        <w:rPr>
          <w:rFonts w:ascii="Times New Roman" w:hAnsi="Times New Roman"/>
          <w:sz w:val="18"/>
          <w:szCs w:val="18"/>
          <w:lang w:val="id-ID"/>
        </w:rPr>
        <w:t xml:space="preserve"> Gustav Radbruch dalam Satjipto Rahardo, </w:t>
      </w:r>
      <w:r w:rsidRPr="008E418B">
        <w:rPr>
          <w:rFonts w:ascii="Times New Roman" w:hAnsi="Times New Roman"/>
          <w:i/>
          <w:sz w:val="18"/>
          <w:szCs w:val="18"/>
          <w:lang w:val="id-ID"/>
        </w:rPr>
        <w:t>Ibid</w:t>
      </w:r>
      <w:r w:rsidRPr="008E418B">
        <w:rPr>
          <w:rFonts w:ascii="Times New Roman" w:hAnsi="Times New Roman"/>
          <w:sz w:val="18"/>
          <w:szCs w:val="18"/>
          <w:lang w:val="id-ID"/>
        </w:rPr>
        <w:t>, hlm 14.</w:t>
      </w:r>
    </w:p>
  </w:footnote>
  <w:footnote w:id="25">
    <w:p w:rsidR="005D0B30" w:rsidRPr="008E418B" w:rsidRDefault="005D0B30" w:rsidP="005D0B30">
      <w:pPr>
        <w:pStyle w:val="FootnoteText"/>
        <w:jc w:val="both"/>
        <w:rPr>
          <w:rFonts w:ascii="Times New Roman" w:hAnsi="Times New Roman"/>
          <w:sz w:val="18"/>
          <w:szCs w:val="18"/>
        </w:rPr>
      </w:pPr>
      <w:r w:rsidRPr="008E418B">
        <w:rPr>
          <w:rStyle w:val="FootnoteReference"/>
          <w:rFonts w:ascii="Times New Roman" w:hAnsi="Times New Roman"/>
          <w:sz w:val="18"/>
          <w:szCs w:val="18"/>
          <w:lang w:val="id-ID"/>
        </w:rPr>
        <w:footnoteRef/>
      </w:r>
      <w:r w:rsidRPr="008E418B">
        <w:rPr>
          <w:rFonts w:ascii="Times New Roman" w:hAnsi="Times New Roman"/>
          <w:sz w:val="18"/>
          <w:szCs w:val="18"/>
          <w:lang w:val="id-ID"/>
        </w:rPr>
        <w:t xml:space="preserve"> Jimly Asshiddiqie, </w:t>
      </w:r>
      <w:r w:rsidRPr="008E418B">
        <w:rPr>
          <w:rFonts w:ascii="Times New Roman" w:hAnsi="Times New Roman"/>
          <w:i/>
          <w:sz w:val="18"/>
          <w:szCs w:val="18"/>
          <w:lang w:val="id-ID"/>
        </w:rPr>
        <w:t>Hukum Tata Negara dan Pilar-Pilar Demokrasi, Serpihan, Pemikiran Hukum, Media dan Hak Asasi Manusia</w:t>
      </w:r>
      <w:r w:rsidRPr="008E418B">
        <w:rPr>
          <w:rFonts w:ascii="Times New Roman" w:hAnsi="Times New Roman"/>
          <w:sz w:val="18"/>
          <w:szCs w:val="18"/>
          <w:lang w:val="id-ID"/>
        </w:rPr>
        <w:t>, Konstitusi Press, (Jakarta : 2005), hlm. 34.</w:t>
      </w:r>
    </w:p>
  </w:footnote>
  <w:footnote w:id="26">
    <w:p w:rsidR="005D0B30" w:rsidRPr="008E418B" w:rsidRDefault="005D0B30" w:rsidP="005D0B30">
      <w:pPr>
        <w:pStyle w:val="FootnoteText"/>
        <w:jc w:val="both"/>
        <w:rPr>
          <w:rFonts w:ascii="Times New Roman" w:hAnsi="Times New Roman"/>
          <w:sz w:val="18"/>
          <w:szCs w:val="18"/>
        </w:rPr>
      </w:pPr>
      <w:r w:rsidRPr="008E418B">
        <w:rPr>
          <w:rStyle w:val="FootnoteReference"/>
          <w:rFonts w:ascii="Times New Roman" w:hAnsi="Times New Roman"/>
          <w:sz w:val="18"/>
          <w:szCs w:val="18"/>
          <w:lang w:val="id-ID"/>
        </w:rPr>
        <w:footnoteRef/>
      </w:r>
      <w:r w:rsidRPr="008E418B">
        <w:rPr>
          <w:rFonts w:ascii="Times New Roman" w:hAnsi="Times New Roman"/>
          <w:sz w:val="18"/>
          <w:szCs w:val="18"/>
          <w:lang w:val="id-ID"/>
        </w:rPr>
        <w:t xml:space="preserve"> Sarip, </w:t>
      </w:r>
      <w:r w:rsidRPr="008E418B">
        <w:rPr>
          <w:rFonts w:ascii="Times New Roman" w:hAnsi="Times New Roman"/>
          <w:i/>
          <w:sz w:val="18"/>
          <w:szCs w:val="18"/>
          <w:lang w:val="id-ID"/>
        </w:rPr>
        <w:t>Jurnal Ilmu Hukum Fiat Justisia</w:t>
      </w:r>
      <w:r w:rsidRPr="008E418B">
        <w:rPr>
          <w:rFonts w:ascii="Times New Roman" w:hAnsi="Times New Roman"/>
          <w:sz w:val="18"/>
          <w:szCs w:val="18"/>
          <w:lang w:val="id-ID"/>
        </w:rPr>
        <w:t>, Fakultas Hukum Universitas Lampung, Vol. 1, No. 3, September-Desember 2007,  hlm. 433.</w:t>
      </w:r>
    </w:p>
  </w:footnote>
  <w:footnote w:id="27">
    <w:p w:rsidR="005D0B30" w:rsidRPr="008E418B" w:rsidRDefault="005D0B30" w:rsidP="005D0B30">
      <w:pPr>
        <w:pStyle w:val="FootnoteText"/>
        <w:jc w:val="both"/>
        <w:rPr>
          <w:rFonts w:ascii="Times New Roman" w:hAnsi="Times New Roman"/>
          <w:sz w:val="18"/>
          <w:szCs w:val="18"/>
        </w:rPr>
      </w:pPr>
      <w:r w:rsidRPr="008E418B">
        <w:rPr>
          <w:rStyle w:val="FootnoteReference"/>
          <w:rFonts w:ascii="Times New Roman" w:hAnsi="Times New Roman"/>
          <w:sz w:val="18"/>
          <w:szCs w:val="18"/>
          <w:lang w:val="id-ID"/>
        </w:rPr>
        <w:footnoteRef/>
      </w:r>
      <w:r w:rsidRPr="008E418B">
        <w:rPr>
          <w:rFonts w:ascii="Times New Roman" w:hAnsi="Times New Roman"/>
          <w:sz w:val="18"/>
          <w:szCs w:val="18"/>
          <w:lang w:val="id-ID"/>
        </w:rPr>
        <w:t xml:space="preserve"> Idelanya </w:t>
      </w:r>
      <w:r w:rsidRPr="008E418B">
        <w:rPr>
          <w:rFonts w:ascii="Times New Roman" w:hAnsi="Times New Roman"/>
          <w:i/>
          <w:sz w:val="18"/>
          <w:szCs w:val="18"/>
          <w:lang w:val="id-ID"/>
        </w:rPr>
        <w:t>triadic dispute resolution</w:t>
      </w:r>
      <w:r w:rsidRPr="008E418B">
        <w:rPr>
          <w:rFonts w:ascii="Times New Roman" w:hAnsi="Times New Roman"/>
          <w:sz w:val="18"/>
          <w:szCs w:val="18"/>
          <w:lang w:val="id-ID"/>
        </w:rPr>
        <w:t xml:space="preserve"> sebagai salah satu pemecahan masalah di luar hukum harus dimanfaatkan oleh para hakim dalam mencari kebenaran secara konstitusional agar kebenaran hukum benar-benar dapat melindungi hak-hak konstitusional warga Negara, lebih jelas lihat, Franz Magnis Suseno, </w:t>
      </w:r>
      <w:r w:rsidRPr="008E418B">
        <w:rPr>
          <w:rFonts w:ascii="Times New Roman" w:hAnsi="Times New Roman"/>
          <w:i/>
          <w:sz w:val="18"/>
          <w:szCs w:val="18"/>
          <w:lang w:val="id-ID"/>
        </w:rPr>
        <w:t>Etika Politik; Prinsip-Prinsip Moral Dasar Kenegaraan Modern</w:t>
      </w:r>
      <w:r w:rsidRPr="008E418B">
        <w:rPr>
          <w:rFonts w:ascii="Times New Roman" w:hAnsi="Times New Roman"/>
          <w:sz w:val="18"/>
          <w:szCs w:val="18"/>
          <w:lang w:val="id-ID"/>
        </w:rPr>
        <w:t>, Gramedia Pustaka Utama, (Jakarta: 1999), hlm 76.</w:t>
      </w:r>
    </w:p>
  </w:footnote>
  <w:footnote w:id="28">
    <w:p w:rsidR="005D0B30" w:rsidRPr="008E418B" w:rsidRDefault="005D0B30" w:rsidP="005D0B30">
      <w:pPr>
        <w:pStyle w:val="FootnoteText"/>
        <w:jc w:val="both"/>
        <w:rPr>
          <w:rFonts w:ascii="Times New Roman" w:hAnsi="Times New Roman"/>
          <w:sz w:val="18"/>
          <w:szCs w:val="18"/>
        </w:rPr>
      </w:pPr>
      <w:r w:rsidRPr="008E418B">
        <w:rPr>
          <w:rStyle w:val="FootnoteReference"/>
          <w:rFonts w:ascii="Times New Roman" w:hAnsi="Times New Roman"/>
          <w:sz w:val="18"/>
          <w:szCs w:val="18"/>
          <w:lang w:val="id-ID"/>
        </w:rPr>
        <w:footnoteRef/>
      </w:r>
      <w:r w:rsidRPr="008E418B">
        <w:rPr>
          <w:rFonts w:ascii="Times New Roman" w:hAnsi="Times New Roman"/>
          <w:sz w:val="18"/>
          <w:szCs w:val="18"/>
          <w:lang w:val="id-ID"/>
        </w:rPr>
        <w:t xml:space="preserve"> Karena ketiganya merupakan suatu susunan yang tidak dapat dipisahkan seperti ekosistem maka jika salah satunya terganggu maka semuanya akan menjadi terganggu dan contoh sederhanya adalah seperti tubuh manusia jika ada yang sakit maka sekujur tubuh ikut sakit.</w:t>
      </w:r>
    </w:p>
  </w:footnote>
  <w:footnote w:id="29">
    <w:p w:rsidR="005D0B30" w:rsidRPr="008E418B" w:rsidRDefault="005D0B30" w:rsidP="005D0B30">
      <w:pPr>
        <w:pStyle w:val="FootnoteText"/>
        <w:jc w:val="both"/>
        <w:rPr>
          <w:rFonts w:ascii="Times New Roman" w:hAnsi="Times New Roman"/>
          <w:sz w:val="18"/>
          <w:szCs w:val="18"/>
        </w:rPr>
      </w:pPr>
      <w:r w:rsidRPr="008E418B">
        <w:rPr>
          <w:rStyle w:val="FootnoteReference"/>
          <w:rFonts w:ascii="Times New Roman" w:hAnsi="Times New Roman"/>
          <w:sz w:val="18"/>
          <w:szCs w:val="18"/>
          <w:lang w:val="id-ID"/>
        </w:rPr>
        <w:footnoteRef/>
      </w:r>
      <w:r w:rsidRPr="008E418B">
        <w:rPr>
          <w:rFonts w:ascii="Times New Roman" w:hAnsi="Times New Roman"/>
          <w:sz w:val="18"/>
          <w:szCs w:val="18"/>
          <w:lang w:val="id-ID"/>
        </w:rPr>
        <w:t xml:space="preserve"> Lihat Hua-Ching Ni, </w:t>
      </w:r>
      <w:r w:rsidRPr="008E418B">
        <w:rPr>
          <w:rFonts w:ascii="Times New Roman" w:hAnsi="Times New Roman"/>
          <w:i/>
          <w:sz w:val="18"/>
          <w:szCs w:val="18"/>
          <w:lang w:val="id-ID"/>
        </w:rPr>
        <w:t>Tao The Subtle Universal Law and The Integral Way of Life,</w:t>
      </w:r>
      <w:r w:rsidRPr="008E418B">
        <w:rPr>
          <w:rFonts w:ascii="Times New Roman" w:hAnsi="Times New Roman"/>
          <w:sz w:val="18"/>
          <w:szCs w:val="18"/>
          <w:lang w:val="id-ID"/>
        </w:rPr>
        <w:t xml:space="preserve"> Terj. Untung Yuwono, </w:t>
      </w:r>
      <w:r w:rsidRPr="008E418B">
        <w:rPr>
          <w:rFonts w:ascii="Times New Roman" w:hAnsi="Times New Roman"/>
          <w:i/>
          <w:sz w:val="18"/>
          <w:szCs w:val="18"/>
          <w:lang w:val="id-ID"/>
        </w:rPr>
        <w:t xml:space="preserve">TAO Pedoman Selaras Dengan Alam, </w:t>
      </w:r>
      <w:r w:rsidRPr="008E418B">
        <w:rPr>
          <w:rFonts w:ascii="Times New Roman" w:hAnsi="Times New Roman"/>
          <w:sz w:val="18"/>
          <w:szCs w:val="18"/>
          <w:lang w:val="id-ID"/>
        </w:rPr>
        <w:t>PT. Pustaka Delapratasa, Edisi II, (Jakarta: 1997), hlm 1-3.</w:t>
      </w:r>
    </w:p>
  </w:footnote>
  <w:footnote w:id="30">
    <w:p w:rsidR="005D0B30" w:rsidRPr="008E418B" w:rsidRDefault="005D0B30" w:rsidP="005D0B30">
      <w:pPr>
        <w:pStyle w:val="FootnoteText"/>
        <w:jc w:val="both"/>
        <w:rPr>
          <w:rFonts w:ascii="Times New Roman" w:hAnsi="Times New Roman"/>
          <w:sz w:val="18"/>
          <w:szCs w:val="18"/>
        </w:rPr>
      </w:pPr>
      <w:r w:rsidRPr="008E418B">
        <w:rPr>
          <w:rStyle w:val="FootnoteReference"/>
          <w:rFonts w:ascii="Times New Roman" w:hAnsi="Times New Roman"/>
          <w:sz w:val="18"/>
          <w:szCs w:val="18"/>
          <w:lang w:val="id-ID"/>
        </w:rPr>
        <w:footnoteRef/>
      </w:r>
      <w:r w:rsidRPr="008E418B">
        <w:rPr>
          <w:rFonts w:ascii="Times New Roman" w:hAnsi="Times New Roman"/>
          <w:sz w:val="18"/>
          <w:szCs w:val="18"/>
          <w:lang w:val="id-ID"/>
        </w:rPr>
        <w:t xml:space="preserve"> Wirjono Projodikoro dalam Dahlan Thaib,</w:t>
      </w:r>
      <w:r w:rsidRPr="008E418B">
        <w:rPr>
          <w:rFonts w:ascii="Times New Roman" w:hAnsi="Times New Roman"/>
          <w:i/>
          <w:iCs/>
          <w:sz w:val="18"/>
          <w:szCs w:val="18"/>
          <w:lang w:val="id-ID"/>
        </w:rPr>
        <w:t xml:space="preserve"> Teori Hukum dan Konstitusi</w:t>
      </w:r>
      <w:r w:rsidRPr="008E418B">
        <w:rPr>
          <w:rFonts w:ascii="Times New Roman" w:hAnsi="Times New Roman"/>
          <w:sz w:val="18"/>
          <w:szCs w:val="18"/>
          <w:lang w:val="id-ID"/>
        </w:rPr>
        <w:t>, cet-1 PT. RajaGrafindo Persada, 1999, Jakarta, hlm 6. lihat juga Dahlan Thaib dalam buku yang sama Cet-4 PT RajaGrafindo Persada, 2004, Jakarta, hlm 7.</w:t>
      </w:r>
    </w:p>
  </w:footnote>
  <w:footnote w:id="31">
    <w:p w:rsidR="005D0B30" w:rsidRPr="008E418B" w:rsidRDefault="005D0B30" w:rsidP="005D0B30">
      <w:pPr>
        <w:pStyle w:val="FootnoteText"/>
        <w:jc w:val="both"/>
        <w:rPr>
          <w:rFonts w:ascii="Times New Roman" w:hAnsi="Times New Roman"/>
          <w:sz w:val="18"/>
          <w:szCs w:val="18"/>
        </w:rPr>
      </w:pPr>
      <w:r w:rsidRPr="008E418B">
        <w:rPr>
          <w:rStyle w:val="FootnoteReference"/>
          <w:rFonts w:ascii="Times New Roman" w:hAnsi="Times New Roman"/>
          <w:sz w:val="18"/>
          <w:szCs w:val="18"/>
          <w:lang w:val="id-ID"/>
        </w:rPr>
        <w:footnoteRef/>
      </w:r>
      <w:r w:rsidRPr="008E418B">
        <w:rPr>
          <w:rFonts w:ascii="Times New Roman" w:hAnsi="Times New Roman"/>
          <w:sz w:val="18"/>
          <w:szCs w:val="18"/>
          <w:lang w:val="id-ID"/>
        </w:rPr>
        <w:t xml:space="preserve"> Dahlan Thaib,</w:t>
      </w:r>
      <w:r w:rsidRPr="008E418B">
        <w:rPr>
          <w:rFonts w:ascii="Times New Roman" w:hAnsi="Times New Roman"/>
          <w:i/>
          <w:iCs/>
          <w:sz w:val="18"/>
          <w:szCs w:val="18"/>
          <w:lang w:val="id-ID"/>
        </w:rPr>
        <w:t xml:space="preserve"> Ibid,</w:t>
      </w:r>
      <w:r w:rsidRPr="008E418B">
        <w:rPr>
          <w:rFonts w:ascii="Times New Roman" w:hAnsi="Times New Roman"/>
          <w:sz w:val="18"/>
          <w:szCs w:val="18"/>
          <w:lang w:val="id-ID"/>
        </w:rPr>
        <w:t xml:space="preserve"> Cet-1, hal 7</w:t>
      </w:r>
    </w:p>
  </w:footnote>
  <w:footnote w:id="32">
    <w:p w:rsidR="005D0B30" w:rsidRPr="008E418B" w:rsidRDefault="005D0B30" w:rsidP="005D0B30">
      <w:pPr>
        <w:pStyle w:val="FootnoteText"/>
        <w:jc w:val="both"/>
        <w:rPr>
          <w:rFonts w:ascii="Times New Roman" w:hAnsi="Times New Roman"/>
          <w:sz w:val="18"/>
          <w:szCs w:val="18"/>
        </w:rPr>
      </w:pPr>
      <w:r w:rsidRPr="008E418B">
        <w:rPr>
          <w:rStyle w:val="FootnoteReference"/>
          <w:rFonts w:ascii="Times New Roman" w:hAnsi="Times New Roman"/>
          <w:sz w:val="18"/>
          <w:szCs w:val="18"/>
          <w:lang w:val="id-ID"/>
        </w:rPr>
        <w:footnoteRef/>
      </w:r>
      <w:r w:rsidRPr="008E418B">
        <w:rPr>
          <w:rFonts w:ascii="Times New Roman" w:hAnsi="Times New Roman"/>
          <w:sz w:val="18"/>
          <w:szCs w:val="18"/>
          <w:lang w:val="id-ID"/>
        </w:rPr>
        <w:t xml:space="preserve"> Dahlan Thaib, </w:t>
      </w:r>
      <w:r w:rsidRPr="008E418B">
        <w:rPr>
          <w:rFonts w:ascii="Times New Roman" w:hAnsi="Times New Roman"/>
          <w:i/>
          <w:iCs/>
          <w:sz w:val="18"/>
          <w:szCs w:val="18"/>
          <w:lang w:val="id-ID"/>
        </w:rPr>
        <w:t>Teori dan Hukum Konstitusi</w:t>
      </w:r>
      <w:r w:rsidRPr="008E418B">
        <w:rPr>
          <w:rFonts w:ascii="Times New Roman" w:hAnsi="Times New Roman"/>
          <w:sz w:val="18"/>
          <w:szCs w:val="18"/>
          <w:lang w:val="id-ID"/>
        </w:rPr>
        <w:t>, Cet-IV, PT RajaGrafindo Persada, 2004, Jakarta, hlm 1.</w:t>
      </w:r>
    </w:p>
  </w:footnote>
  <w:footnote w:id="33">
    <w:p w:rsidR="005D0B30" w:rsidRPr="008E418B" w:rsidRDefault="005D0B30" w:rsidP="005D0B30">
      <w:pPr>
        <w:pStyle w:val="FootnoteText"/>
        <w:jc w:val="both"/>
        <w:rPr>
          <w:rFonts w:ascii="Times New Roman" w:hAnsi="Times New Roman"/>
          <w:sz w:val="18"/>
          <w:szCs w:val="18"/>
        </w:rPr>
      </w:pPr>
      <w:r w:rsidRPr="008E418B">
        <w:rPr>
          <w:rStyle w:val="FootnoteReference"/>
          <w:rFonts w:ascii="Times New Roman" w:hAnsi="Times New Roman"/>
          <w:sz w:val="18"/>
          <w:szCs w:val="18"/>
          <w:lang w:val="id-ID"/>
        </w:rPr>
        <w:footnoteRef/>
      </w:r>
      <w:r w:rsidRPr="008E418B">
        <w:rPr>
          <w:rFonts w:ascii="Times New Roman" w:hAnsi="Times New Roman"/>
          <w:sz w:val="18"/>
          <w:szCs w:val="18"/>
          <w:lang w:val="id-ID"/>
        </w:rPr>
        <w:t xml:space="preserve"> Tim Penyusun Kamus, </w:t>
      </w:r>
      <w:r w:rsidRPr="008E418B">
        <w:rPr>
          <w:rFonts w:ascii="Times New Roman" w:hAnsi="Times New Roman"/>
          <w:i/>
          <w:iCs/>
          <w:sz w:val="18"/>
          <w:szCs w:val="18"/>
          <w:lang w:val="id-ID"/>
        </w:rPr>
        <w:t>Kamus Besar Bahasa Indonesia</w:t>
      </w:r>
      <w:r w:rsidRPr="008E418B">
        <w:rPr>
          <w:rFonts w:ascii="Times New Roman" w:hAnsi="Times New Roman"/>
          <w:sz w:val="18"/>
          <w:szCs w:val="18"/>
          <w:lang w:val="id-ID"/>
        </w:rPr>
        <w:t>, Edisi II Departemen Pendidikan dan Kebudayaan, Balai Pustaka, 2002, Jakarta, hlm 521.</w:t>
      </w:r>
    </w:p>
  </w:footnote>
  <w:footnote w:id="34">
    <w:p w:rsidR="005D0B30" w:rsidRPr="008E418B" w:rsidRDefault="005D0B30" w:rsidP="005D0B30">
      <w:pPr>
        <w:pStyle w:val="FootnoteText"/>
        <w:jc w:val="both"/>
        <w:rPr>
          <w:rFonts w:ascii="Times New Roman" w:hAnsi="Times New Roman"/>
          <w:sz w:val="18"/>
          <w:szCs w:val="18"/>
        </w:rPr>
      </w:pPr>
      <w:r w:rsidRPr="008E418B">
        <w:rPr>
          <w:rStyle w:val="FootnoteReference"/>
          <w:rFonts w:ascii="Times New Roman" w:hAnsi="Times New Roman"/>
          <w:sz w:val="18"/>
          <w:szCs w:val="18"/>
          <w:lang w:val="id-ID"/>
        </w:rPr>
        <w:footnoteRef/>
      </w:r>
      <w:r w:rsidRPr="008E418B">
        <w:rPr>
          <w:rFonts w:ascii="Times New Roman" w:hAnsi="Times New Roman"/>
          <w:sz w:val="18"/>
          <w:szCs w:val="18"/>
          <w:lang w:val="id-ID"/>
        </w:rPr>
        <w:t xml:space="preserve"> Kekalahan doktrin kekuasaan hukum oleh kekuasaan negara menyebabkan kekuasaan hukum menjadi di bawah perintah kepala negara yang bersifat otoriter.</w:t>
      </w:r>
    </w:p>
  </w:footnote>
  <w:footnote w:id="35">
    <w:p w:rsidR="005D0B30" w:rsidRPr="008E418B" w:rsidRDefault="005D0B30" w:rsidP="005D0B30">
      <w:pPr>
        <w:pStyle w:val="FootnoteText"/>
        <w:jc w:val="both"/>
        <w:rPr>
          <w:rFonts w:ascii="Times New Roman" w:hAnsi="Times New Roman"/>
          <w:sz w:val="18"/>
          <w:szCs w:val="18"/>
        </w:rPr>
      </w:pPr>
      <w:r w:rsidRPr="008E418B">
        <w:rPr>
          <w:rStyle w:val="FootnoteReference"/>
          <w:rFonts w:ascii="Times New Roman" w:hAnsi="Times New Roman"/>
          <w:sz w:val="18"/>
          <w:szCs w:val="18"/>
          <w:lang w:val="id-ID"/>
        </w:rPr>
        <w:footnoteRef/>
      </w:r>
      <w:r w:rsidRPr="008E418B">
        <w:rPr>
          <w:rFonts w:ascii="Times New Roman" w:hAnsi="Times New Roman"/>
          <w:sz w:val="18"/>
          <w:szCs w:val="18"/>
          <w:lang w:val="id-ID"/>
        </w:rPr>
        <w:t xml:space="preserve"> Bandingkan dengan Roberto M. Urger, </w:t>
      </w:r>
      <w:r w:rsidRPr="008E418B">
        <w:rPr>
          <w:rFonts w:ascii="Times New Roman" w:hAnsi="Times New Roman"/>
          <w:i/>
          <w:sz w:val="18"/>
          <w:szCs w:val="18"/>
          <w:lang w:val="id-ID"/>
        </w:rPr>
        <w:t>Law And Modern Society: Toward a Critiscm of Social Theory,</w:t>
      </w:r>
      <w:r w:rsidRPr="008E418B">
        <w:rPr>
          <w:rFonts w:ascii="Times New Roman" w:hAnsi="Times New Roman"/>
          <w:sz w:val="18"/>
          <w:szCs w:val="18"/>
          <w:lang w:val="id-ID"/>
        </w:rPr>
        <w:t xml:space="preserve"> Terj. Dariyanto dan Derta Sri Widowati, </w:t>
      </w:r>
      <w:r w:rsidRPr="008E418B">
        <w:rPr>
          <w:rFonts w:ascii="Times New Roman" w:hAnsi="Times New Roman"/>
          <w:i/>
          <w:sz w:val="18"/>
          <w:szCs w:val="18"/>
          <w:lang w:val="id-ID"/>
        </w:rPr>
        <w:t>Teori Hukum Kritis: Posisi Hukum Dalam Masyarakat Modern</w:t>
      </w:r>
      <w:r w:rsidRPr="008E418B">
        <w:rPr>
          <w:rFonts w:ascii="Times New Roman" w:hAnsi="Times New Roman"/>
          <w:sz w:val="18"/>
          <w:szCs w:val="18"/>
          <w:lang w:val="id-ID"/>
        </w:rPr>
        <w:t xml:space="preserve">, Cet-II, Nusamedia, (Bandung: 2008), hlm 329-330.  </w:t>
      </w:r>
    </w:p>
  </w:footnote>
  <w:footnote w:id="36">
    <w:p w:rsidR="005D0B30" w:rsidRPr="008E418B" w:rsidRDefault="005D0B30" w:rsidP="005D0B30">
      <w:pPr>
        <w:pStyle w:val="FootnoteText"/>
        <w:jc w:val="both"/>
        <w:rPr>
          <w:rFonts w:ascii="Times New Roman" w:hAnsi="Times New Roman"/>
          <w:sz w:val="18"/>
          <w:szCs w:val="18"/>
        </w:rPr>
      </w:pPr>
      <w:r w:rsidRPr="008E418B">
        <w:rPr>
          <w:rStyle w:val="FootnoteReference"/>
          <w:rFonts w:ascii="Times New Roman" w:hAnsi="Times New Roman"/>
          <w:sz w:val="18"/>
          <w:szCs w:val="18"/>
          <w:lang w:val="id-ID"/>
        </w:rPr>
        <w:footnoteRef/>
      </w:r>
      <w:r w:rsidRPr="008E418B">
        <w:rPr>
          <w:rFonts w:ascii="Times New Roman" w:hAnsi="Times New Roman"/>
          <w:sz w:val="18"/>
          <w:szCs w:val="18"/>
          <w:lang w:val="id-ID"/>
        </w:rPr>
        <w:t xml:space="preserve"> Satjipto Rahardjo, </w:t>
      </w:r>
      <w:r w:rsidRPr="008E418B">
        <w:rPr>
          <w:rFonts w:ascii="Times New Roman" w:hAnsi="Times New Roman"/>
          <w:i/>
          <w:sz w:val="18"/>
          <w:szCs w:val="18"/>
          <w:lang w:val="id-ID"/>
        </w:rPr>
        <w:t>Peninjauan Hukum dan Cacat Undang-Undang Dalam Hukum di Indonesia</w:t>
      </w:r>
      <w:r w:rsidRPr="008E418B">
        <w:rPr>
          <w:rFonts w:ascii="Times New Roman" w:hAnsi="Times New Roman"/>
          <w:sz w:val="18"/>
          <w:szCs w:val="18"/>
          <w:lang w:val="id-ID"/>
        </w:rPr>
        <w:t>, Citra Aditya Bakti, (Bandung:2004), hlm 144.</w:t>
      </w:r>
    </w:p>
  </w:footnote>
  <w:footnote w:id="37">
    <w:p w:rsidR="005D0B30" w:rsidRPr="008E418B" w:rsidRDefault="005D0B30" w:rsidP="005D0B30">
      <w:pPr>
        <w:pStyle w:val="FootnoteText"/>
        <w:jc w:val="both"/>
        <w:rPr>
          <w:rFonts w:ascii="Times New Roman" w:hAnsi="Times New Roman"/>
          <w:sz w:val="18"/>
          <w:szCs w:val="18"/>
        </w:rPr>
      </w:pPr>
      <w:r w:rsidRPr="008E418B">
        <w:rPr>
          <w:rStyle w:val="FootnoteReference"/>
          <w:rFonts w:ascii="Times New Roman" w:hAnsi="Times New Roman"/>
          <w:sz w:val="18"/>
          <w:szCs w:val="18"/>
          <w:lang w:val="id-ID"/>
        </w:rPr>
        <w:footnoteRef/>
      </w:r>
      <w:r w:rsidRPr="008E418B">
        <w:rPr>
          <w:rFonts w:ascii="Times New Roman" w:hAnsi="Times New Roman"/>
          <w:sz w:val="18"/>
          <w:szCs w:val="18"/>
          <w:lang w:val="id-ID"/>
        </w:rPr>
        <w:t xml:space="preserve"> Daniel S. Lev,</w:t>
      </w:r>
      <w:r w:rsidRPr="008E418B">
        <w:rPr>
          <w:rFonts w:ascii="Times New Roman" w:hAnsi="Times New Roman"/>
          <w:i/>
          <w:sz w:val="18"/>
          <w:szCs w:val="18"/>
          <w:lang w:val="id-ID"/>
        </w:rPr>
        <w:t xml:space="preserve"> Hukum dan Politik di Indonesia; Kesinambungan dan Perubahan,</w:t>
      </w:r>
      <w:r w:rsidRPr="008E418B">
        <w:rPr>
          <w:rFonts w:ascii="Times New Roman" w:hAnsi="Times New Roman"/>
          <w:sz w:val="18"/>
          <w:szCs w:val="18"/>
          <w:lang w:val="id-ID"/>
        </w:rPr>
        <w:t xml:space="preserve"> LP3ES, (Jakarta: 1990), hlm 379.</w:t>
      </w:r>
    </w:p>
  </w:footnote>
  <w:footnote w:id="38">
    <w:p w:rsidR="005D0B30" w:rsidRPr="008E418B" w:rsidRDefault="005D0B30" w:rsidP="005D0B30">
      <w:pPr>
        <w:pStyle w:val="FootnoteText"/>
        <w:jc w:val="both"/>
        <w:rPr>
          <w:rFonts w:ascii="Times New Roman" w:hAnsi="Times New Roman"/>
          <w:sz w:val="18"/>
          <w:szCs w:val="18"/>
        </w:rPr>
      </w:pPr>
      <w:r w:rsidRPr="008E418B">
        <w:rPr>
          <w:rStyle w:val="FootnoteReference"/>
          <w:rFonts w:ascii="Times New Roman" w:hAnsi="Times New Roman"/>
          <w:sz w:val="18"/>
          <w:szCs w:val="18"/>
          <w:lang w:val="id-ID"/>
        </w:rPr>
        <w:footnoteRef/>
      </w:r>
      <w:r w:rsidRPr="008E418B">
        <w:rPr>
          <w:rFonts w:ascii="Times New Roman" w:hAnsi="Times New Roman"/>
          <w:sz w:val="18"/>
          <w:szCs w:val="18"/>
          <w:lang w:val="id-ID"/>
        </w:rPr>
        <w:t xml:space="preserve"> Di Amerika Serikat peran </w:t>
      </w:r>
      <w:r w:rsidRPr="008E418B">
        <w:rPr>
          <w:rFonts w:ascii="Times New Roman" w:hAnsi="Times New Roman"/>
          <w:i/>
          <w:sz w:val="18"/>
          <w:szCs w:val="18"/>
          <w:lang w:val="id-ID"/>
        </w:rPr>
        <w:t>Supreme Court</w:t>
      </w:r>
      <w:r w:rsidRPr="008E418B">
        <w:rPr>
          <w:rFonts w:ascii="Times New Roman" w:hAnsi="Times New Roman"/>
          <w:sz w:val="18"/>
          <w:szCs w:val="18"/>
          <w:lang w:val="id-ID"/>
        </w:rPr>
        <w:t xml:space="preserve"> sebagai pembuat kebijakan berasal dari penafsiran undang-undang, isu-isu kebijakan publik di ajukan ke Mahkamah dalam bentuk sengketa hukum yang harus dipecahkan. Departemen Luar Negeri Amerika Serikat, </w:t>
      </w:r>
      <w:r w:rsidRPr="008E418B">
        <w:rPr>
          <w:rFonts w:ascii="Times New Roman" w:hAnsi="Times New Roman"/>
          <w:i/>
          <w:sz w:val="18"/>
          <w:szCs w:val="18"/>
          <w:lang w:val="id-ID"/>
        </w:rPr>
        <w:t>Garis Besar Sistem Hukum Amerika Serikat,</w:t>
      </w:r>
      <w:r w:rsidRPr="008E418B">
        <w:rPr>
          <w:rFonts w:ascii="Times New Roman" w:hAnsi="Times New Roman"/>
          <w:sz w:val="18"/>
          <w:szCs w:val="18"/>
          <w:lang w:val="id-ID"/>
        </w:rPr>
        <w:t xml:space="preserve"> Biro Program Informasi Internasional (A.S.: 2001), hlm 26. Bandingkan dengan Sarip, </w:t>
      </w:r>
      <w:r w:rsidRPr="008E418B">
        <w:rPr>
          <w:rFonts w:ascii="Times New Roman" w:hAnsi="Times New Roman"/>
          <w:i/>
          <w:sz w:val="18"/>
          <w:szCs w:val="18"/>
          <w:lang w:val="id-ID"/>
        </w:rPr>
        <w:t>Loc.Cit.</w:t>
      </w:r>
      <w:r w:rsidRPr="008E418B">
        <w:rPr>
          <w:rFonts w:ascii="Times New Roman" w:hAnsi="Times New Roman"/>
          <w:sz w:val="18"/>
          <w:szCs w:val="18"/>
          <w:lang w:val="id-ID"/>
        </w:rPr>
        <w:t xml:space="preserve"> hlm 434.</w:t>
      </w:r>
    </w:p>
  </w:footnote>
  <w:footnote w:id="39">
    <w:p w:rsidR="005D0B30" w:rsidRPr="008E418B" w:rsidRDefault="005D0B30" w:rsidP="005D0B30">
      <w:pPr>
        <w:pStyle w:val="FootnoteText"/>
        <w:jc w:val="both"/>
        <w:rPr>
          <w:rFonts w:ascii="Times New Roman" w:hAnsi="Times New Roman"/>
          <w:sz w:val="18"/>
          <w:szCs w:val="18"/>
        </w:rPr>
      </w:pPr>
      <w:r w:rsidRPr="008E418B">
        <w:rPr>
          <w:rStyle w:val="FootnoteReference"/>
          <w:rFonts w:ascii="Times New Roman" w:hAnsi="Times New Roman"/>
          <w:sz w:val="18"/>
          <w:szCs w:val="18"/>
          <w:lang w:val="id-ID"/>
        </w:rPr>
        <w:footnoteRef/>
      </w:r>
      <w:r w:rsidRPr="008E418B">
        <w:rPr>
          <w:rFonts w:ascii="Times New Roman" w:hAnsi="Times New Roman"/>
          <w:sz w:val="18"/>
          <w:szCs w:val="18"/>
          <w:lang w:val="id-ID"/>
        </w:rPr>
        <w:t xml:space="preserve"> Daniel S. Lev,</w:t>
      </w:r>
      <w:r w:rsidRPr="008E418B">
        <w:rPr>
          <w:rFonts w:ascii="Times New Roman" w:hAnsi="Times New Roman"/>
          <w:i/>
          <w:sz w:val="18"/>
          <w:szCs w:val="18"/>
          <w:lang w:val="id-ID"/>
        </w:rPr>
        <w:t xml:space="preserve"> Op.Cit,</w:t>
      </w:r>
      <w:r w:rsidRPr="008E418B">
        <w:rPr>
          <w:rFonts w:ascii="Times New Roman" w:hAnsi="Times New Roman"/>
          <w:sz w:val="18"/>
          <w:szCs w:val="18"/>
          <w:lang w:val="id-ID"/>
        </w:rPr>
        <w:t xml:space="preserve"> hlm 380.</w:t>
      </w:r>
    </w:p>
  </w:footnote>
  <w:footnote w:id="40">
    <w:p w:rsidR="005D0B30" w:rsidRPr="008E418B" w:rsidRDefault="005D0B30" w:rsidP="005D0B30">
      <w:pPr>
        <w:pStyle w:val="FootnoteText"/>
        <w:jc w:val="both"/>
        <w:rPr>
          <w:rFonts w:ascii="Times New Roman" w:hAnsi="Times New Roman"/>
          <w:sz w:val="18"/>
          <w:szCs w:val="18"/>
        </w:rPr>
      </w:pPr>
      <w:r w:rsidRPr="008E418B">
        <w:rPr>
          <w:rStyle w:val="FootnoteReference"/>
          <w:rFonts w:ascii="Times New Roman" w:hAnsi="Times New Roman"/>
          <w:sz w:val="18"/>
          <w:szCs w:val="18"/>
          <w:lang w:val="id-ID"/>
        </w:rPr>
        <w:footnoteRef/>
      </w:r>
      <w:r w:rsidRPr="008E418B">
        <w:rPr>
          <w:rFonts w:ascii="Times New Roman" w:hAnsi="Times New Roman"/>
          <w:sz w:val="18"/>
          <w:szCs w:val="18"/>
          <w:lang w:val="id-ID"/>
        </w:rPr>
        <w:t xml:space="preserve"> Bukti riil kegagalan adanya suatu lembga yang dapat me-review di Indonesia lebih akibat belajar dari kegagalan contitusi Weimar 1919, hanya melihat konstitusi tersebut tanpa melakukan inovasi perbaikannya. </w:t>
      </w:r>
    </w:p>
  </w:footnote>
  <w:footnote w:id="41">
    <w:p w:rsidR="005D0B30" w:rsidRPr="008E418B" w:rsidRDefault="005D0B30" w:rsidP="005D0B30">
      <w:pPr>
        <w:pStyle w:val="FootnoteText"/>
        <w:jc w:val="both"/>
        <w:rPr>
          <w:rFonts w:ascii="Times New Roman" w:hAnsi="Times New Roman"/>
          <w:sz w:val="18"/>
          <w:szCs w:val="18"/>
        </w:rPr>
      </w:pPr>
      <w:r w:rsidRPr="008E418B">
        <w:rPr>
          <w:rStyle w:val="FootnoteReference"/>
          <w:rFonts w:ascii="Times New Roman" w:hAnsi="Times New Roman"/>
          <w:sz w:val="18"/>
          <w:szCs w:val="18"/>
          <w:lang w:val="id-ID"/>
        </w:rPr>
        <w:footnoteRef/>
      </w:r>
      <w:r w:rsidRPr="008E418B">
        <w:rPr>
          <w:rFonts w:ascii="Times New Roman" w:hAnsi="Times New Roman"/>
          <w:sz w:val="18"/>
          <w:szCs w:val="18"/>
          <w:lang w:val="id-ID"/>
        </w:rPr>
        <w:t xml:space="preserve"> Soetandyo Wignjosoebroto, </w:t>
      </w:r>
      <w:r w:rsidRPr="008E418B">
        <w:rPr>
          <w:rFonts w:ascii="Times New Roman" w:hAnsi="Times New Roman"/>
          <w:i/>
          <w:sz w:val="18"/>
          <w:szCs w:val="18"/>
          <w:lang w:val="id-ID"/>
        </w:rPr>
        <w:t>Hukum Kolonial ke Hukum Nasional; Dinamika Sosial Politik Dalam Perkembangan Hukum di Indonesia</w:t>
      </w:r>
      <w:r w:rsidRPr="008E418B">
        <w:rPr>
          <w:rFonts w:ascii="Times New Roman" w:hAnsi="Times New Roman"/>
          <w:sz w:val="18"/>
          <w:szCs w:val="18"/>
          <w:lang w:val="id-ID"/>
        </w:rPr>
        <w:t>, PT RajaGrafindo Persada, (Jakarta: 1994), hlm 189.</w:t>
      </w:r>
    </w:p>
  </w:footnote>
  <w:footnote w:id="42">
    <w:p w:rsidR="005D0B30" w:rsidRPr="008E418B" w:rsidRDefault="005D0B30" w:rsidP="005D0B30">
      <w:pPr>
        <w:pStyle w:val="FootnoteText"/>
        <w:jc w:val="both"/>
        <w:rPr>
          <w:rFonts w:ascii="Times New Roman" w:hAnsi="Times New Roman"/>
          <w:sz w:val="18"/>
          <w:szCs w:val="18"/>
        </w:rPr>
      </w:pPr>
      <w:r w:rsidRPr="008E418B">
        <w:rPr>
          <w:rStyle w:val="FootnoteReference"/>
          <w:rFonts w:ascii="Times New Roman" w:hAnsi="Times New Roman"/>
          <w:sz w:val="18"/>
          <w:szCs w:val="18"/>
          <w:lang w:val="id-ID"/>
        </w:rPr>
        <w:footnoteRef/>
      </w:r>
      <w:r w:rsidRPr="008E418B">
        <w:rPr>
          <w:rFonts w:ascii="Times New Roman" w:hAnsi="Times New Roman"/>
          <w:sz w:val="18"/>
          <w:szCs w:val="18"/>
          <w:lang w:val="id-ID"/>
        </w:rPr>
        <w:t xml:space="preserve"> Dicey dalam Sarip, </w:t>
      </w:r>
      <w:r w:rsidRPr="008E418B">
        <w:rPr>
          <w:rFonts w:ascii="Times New Roman" w:hAnsi="Times New Roman"/>
          <w:i/>
          <w:sz w:val="18"/>
          <w:szCs w:val="18"/>
          <w:lang w:val="id-ID"/>
        </w:rPr>
        <w:t>Loc. Cit.</w:t>
      </w:r>
    </w:p>
  </w:footnote>
  <w:footnote w:id="43">
    <w:p w:rsidR="005D0B30" w:rsidRPr="008E418B" w:rsidRDefault="005D0B30" w:rsidP="005D0B30">
      <w:pPr>
        <w:pStyle w:val="FootnoteText"/>
        <w:jc w:val="both"/>
        <w:rPr>
          <w:rFonts w:ascii="Times New Roman" w:hAnsi="Times New Roman"/>
          <w:sz w:val="18"/>
          <w:szCs w:val="18"/>
        </w:rPr>
      </w:pPr>
      <w:r w:rsidRPr="008E418B">
        <w:rPr>
          <w:rStyle w:val="FootnoteReference"/>
          <w:rFonts w:ascii="Times New Roman" w:hAnsi="Times New Roman"/>
          <w:sz w:val="18"/>
          <w:szCs w:val="18"/>
          <w:lang w:val="id-ID"/>
        </w:rPr>
        <w:footnoteRef/>
      </w:r>
      <w:r w:rsidRPr="008E418B">
        <w:rPr>
          <w:rFonts w:ascii="Times New Roman" w:hAnsi="Times New Roman"/>
          <w:sz w:val="18"/>
          <w:szCs w:val="18"/>
          <w:lang w:val="id-ID"/>
        </w:rPr>
        <w:t xml:space="preserve"> Forum semacam ini dinamakan sebagai forum </w:t>
      </w:r>
      <w:r w:rsidRPr="008E418B">
        <w:rPr>
          <w:rFonts w:ascii="Times New Roman" w:hAnsi="Times New Roman"/>
          <w:i/>
          <w:sz w:val="18"/>
          <w:szCs w:val="18"/>
          <w:lang w:val="id-ID"/>
        </w:rPr>
        <w:t>previligiantum</w:t>
      </w:r>
      <w:r w:rsidRPr="008E418B">
        <w:rPr>
          <w:rFonts w:ascii="Times New Roman" w:hAnsi="Times New Roman"/>
          <w:sz w:val="18"/>
          <w:szCs w:val="18"/>
          <w:lang w:val="id-ID"/>
        </w:rPr>
        <w:t xml:space="preserve"> jadi ada mekanisme pertanggungjawaban dari pejabat Negara yang kerap kali dinamakan sebagai pertanggngjawaban financial, politis, dan pidana.</w:t>
      </w:r>
    </w:p>
  </w:footnote>
  <w:footnote w:id="44">
    <w:p w:rsidR="005D0B30" w:rsidRPr="008E418B" w:rsidRDefault="005D0B30" w:rsidP="005D0B30">
      <w:pPr>
        <w:pStyle w:val="FootnoteText"/>
        <w:jc w:val="both"/>
        <w:rPr>
          <w:rFonts w:ascii="Times New Roman" w:hAnsi="Times New Roman"/>
          <w:sz w:val="18"/>
          <w:szCs w:val="18"/>
        </w:rPr>
      </w:pPr>
      <w:r w:rsidRPr="008E418B">
        <w:rPr>
          <w:rStyle w:val="FootnoteReference"/>
          <w:rFonts w:ascii="Times New Roman" w:hAnsi="Times New Roman"/>
          <w:sz w:val="18"/>
          <w:szCs w:val="18"/>
          <w:lang w:val="id-ID"/>
        </w:rPr>
        <w:footnoteRef/>
      </w:r>
      <w:r w:rsidRPr="008E418B">
        <w:rPr>
          <w:rFonts w:ascii="Times New Roman" w:hAnsi="Times New Roman"/>
          <w:sz w:val="18"/>
          <w:szCs w:val="18"/>
          <w:lang w:val="id-ID"/>
        </w:rPr>
        <w:t xml:space="preserve"> Doktrin yang menyatakan bahwa undang-undang tidak dapat diganggu gugat membawa kesengsaraan dalam menegakan konstitusi sebagai landasan Negara hokum di zaman modern untuk dapat berpikir tentang Negara yang bercirikan supermasi hokum akhirnya membawa kegagalam.</w:t>
      </w:r>
    </w:p>
  </w:footnote>
  <w:footnote w:id="45">
    <w:p w:rsidR="005D0B30" w:rsidRPr="008E418B" w:rsidRDefault="005D0B30" w:rsidP="005D0B30">
      <w:pPr>
        <w:pStyle w:val="FootnoteText"/>
        <w:jc w:val="both"/>
        <w:rPr>
          <w:rFonts w:ascii="Times New Roman" w:hAnsi="Times New Roman"/>
          <w:sz w:val="18"/>
          <w:szCs w:val="18"/>
        </w:rPr>
      </w:pPr>
      <w:r w:rsidRPr="008E418B">
        <w:rPr>
          <w:rStyle w:val="FootnoteReference"/>
          <w:rFonts w:ascii="Times New Roman" w:hAnsi="Times New Roman"/>
          <w:sz w:val="18"/>
          <w:szCs w:val="18"/>
          <w:lang w:val="id-ID"/>
        </w:rPr>
        <w:footnoteRef/>
      </w:r>
      <w:r w:rsidRPr="008E418B">
        <w:rPr>
          <w:rFonts w:ascii="Times New Roman" w:hAnsi="Times New Roman"/>
          <w:sz w:val="18"/>
          <w:szCs w:val="18"/>
          <w:lang w:val="id-ID"/>
        </w:rPr>
        <w:t xml:space="preserve"> Apabila pengujian undang-undang dilakukan sebelum diundangkan oleh legislative  maka dinamakan sebagai legeslatif preview jika yang melakukannya lembaga yudikatif maka dinamakan yudikatif preview. Namun, apabila sesudah diundangkan dinamakan review.</w:t>
      </w:r>
    </w:p>
  </w:footnote>
  <w:footnote w:id="46">
    <w:p w:rsidR="005D0B30" w:rsidRPr="008E418B" w:rsidRDefault="005D0B30" w:rsidP="005D0B30">
      <w:pPr>
        <w:pStyle w:val="FootnoteText"/>
        <w:jc w:val="both"/>
        <w:rPr>
          <w:rFonts w:ascii="Times New Roman" w:hAnsi="Times New Roman"/>
          <w:sz w:val="18"/>
          <w:szCs w:val="18"/>
        </w:rPr>
      </w:pPr>
      <w:r w:rsidRPr="008E418B">
        <w:rPr>
          <w:rStyle w:val="FootnoteReference"/>
          <w:rFonts w:ascii="Times New Roman" w:hAnsi="Times New Roman"/>
          <w:sz w:val="18"/>
          <w:szCs w:val="18"/>
          <w:lang w:val="id-ID"/>
        </w:rPr>
        <w:footnoteRef/>
      </w:r>
      <w:r w:rsidRPr="008E418B">
        <w:rPr>
          <w:rFonts w:ascii="Times New Roman" w:hAnsi="Times New Roman"/>
          <w:sz w:val="18"/>
          <w:szCs w:val="18"/>
          <w:lang w:val="id-ID"/>
        </w:rPr>
        <w:t xml:space="preserve"> Dalam keadaan demikian apabila yang melakukannya adalah lembaga politik, bergantung UUD memberikan hak kepada siapa yang berhak untuk melakukannya.</w:t>
      </w:r>
    </w:p>
  </w:footnote>
  <w:footnote w:id="47">
    <w:p w:rsidR="005D0B30" w:rsidRPr="008E418B" w:rsidRDefault="005D0B30" w:rsidP="005D0B30">
      <w:pPr>
        <w:pStyle w:val="FootnoteText"/>
        <w:jc w:val="both"/>
        <w:rPr>
          <w:rFonts w:ascii="Times New Roman" w:hAnsi="Times New Roman"/>
          <w:sz w:val="18"/>
          <w:szCs w:val="18"/>
        </w:rPr>
      </w:pPr>
      <w:r w:rsidRPr="008E418B">
        <w:rPr>
          <w:rStyle w:val="FootnoteReference"/>
          <w:rFonts w:ascii="Times New Roman" w:hAnsi="Times New Roman"/>
          <w:sz w:val="18"/>
          <w:szCs w:val="18"/>
          <w:lang w:val="id-ID"/>
        </w:rPr>
        <w:footnoteRef/>
      </w:r>
      <w:r w:rsidRPr="008E418B">
        <w:rPr>
          <w:rFonts w:ascii="Times New Roman" w:hAnsi="Times New Roman"/>
          <w:sz w:val="18"/>
          <w:szCs w:val="18"/>
          <w:lang w:val="id-ID"/>
        </w:rPr>
        <w:t xml:space="preserve"> Adnan Buyung Nasution, </w:t>
      </w:r>
      <w:r w:rsidRPr="008E418B">
        <w:rPr>
          <w:rFonts w:ascii="Times New Roman" w:hAnsi="Times New Roman"/>
          <w:i/>
          <w:sz w:val="18"/>
          <w:szCs w:val="18"/>
          <w:lang w:val="id-ID"/>
        </w:rPr>
        <w:t>Aspirasi Pemerintahan Konstitusional di Indonesia,</w:t>
      </w:r>
      <w:r w:rsidRPr="008E418B">
        <w:rPr>
          <w:rFonts w:ascii="Times New Roman" w:hAnsi="Times New Roman"/>
          <w:sz w:val="18"/>
          <w:szCs w:val="18"/>
          <w:lang w:val="id-ID"/>
        </w:rPr>
        <w:t xml:space="preserve"> Graffiti, (Jakarta: 1995), hlm 237.</w:t>
      </w:r>
    </w:p>
  </w:footnote>
  <w:footnote w:id="48">
    <w:p w:rsidR="005D0B30" w:rsidRPr="008E418B" w:rsidRDefault="005D0B30" w:rsidP="005D0B30">
      <w:pPr>
        <w:pStyle w:val="FootnoteText"/>
        <w:jc w:val="both"/>
        <w:rPr>
          <w:rFonts w:ascii="Times New Roman" w:hAnsi="Times New Roman"/>
          <w:sz w:val="18"/>
          <w:szCs w:val="18"/>
        </w:rPr>
      </w:pPr>
      <w:r w:rsidRPr="008E418B">
        <w:rPr>
          <w:rStyle w:val="FootnoteReference"/>
          <w:rFonts w:ascii="Times New Roman" w:hAnsi="Times New Roman"/>
          <w:sz w:val="18"/>
          <w:szCs w:val="18"/>
          <w:lang w:val="id-ID"/>
        </w:rPr>
        <w:footnoteRef/>
      </w:r>
      <w:r w:rsidRPr="008E418B">
        <w:rPr>
          <w:rFonts w:ascii="Times New Roman" w:hAnsi="Times New Roman"/>
          <w:sz w:val="18"/>
          <w:szCs w:val="18"/>
          <w:lang w:val="id-ID"/>
        </w:rPr>
        <w:t xml:space="preserve"> Doktrin tersebut sering dikenal dengan sebutan </w:t>
      </w:r>
      <w:r w:rsidRPr="008E418B">
        <w:rPr>
          <w:rFonts w:ascii="Times New Roman" w:hAnsi="Times New Roman"/>
          <w:i/>
          <w:sz w:val="18"/>
          <w:szCs w:val="18"/>
          <w:lang w:val="id-ID"/>
        </w:rPr>
        <w:t>sparation of power dan division of power</w:t>
      </w:r>
      <w:r w:rsidRPr="008E418B">
        <w:rPr>
          <w:rFonts w:ascii="Times New Roman" w:hAnsi="Times New Roman"/>
          <w:sz w:val="18"/>
          <w:szCs w:val="18"/>
          <w:lang w:val="id-ID"/>
        </w:rPr>
        <w:t>.</w:t>
      </w:r>
    </w:p>
  </w:footnote>
  <w:footnote w:id="49">
    <w:p w:rsidR="005D0B30" w:rsidRPr="008E418B" w:rsidRDefault="005D0B30" w:rsidP="005D0B30">
      <w:pPr>
        <w:pStyle w:val="FootnoteText"/>
        <w:jc w:val="both"/>
        <w:rPr>
          <w:rFonts w:ascii="Times New Roman" w:hAnsi="Times New Roman"/>
          <w:sz w:val="18"/>
          <w:szCs w:val="18"/>
        </w:rPr>
      </w:pPr>
      <w:r w:rsidRPr="008E418B">
        <w:rPr>
          <w:rStyle w:val="FootnoteReference"/>
          <w:rFonts w:ascii="Times New Roman" w:hAnsi="Times New Roman"/>
          <w:sz w:val="18"/>
          <w:szCs w:val="18"/>
          <w:lang w:val="id-ID"/>
        </w:rPr>
        <w:footnoteRef/>
      </w:r>
      <w:r w:rsidRPr="008E418B">
        <w:rPr>
          <w:rFonts w:ascii="Times New Roman" w:hAnsi="Times New Roman"/>
          <w:sz w:val="18"/>
          <w:szCs w:val="18"/>
          <w:lang w:val="id-ID"/>
        </w:rPr>
        <w:t xml:space="preserve"> Michel Alen dalam Jurnal Konstitusi, </w:t>
      </w:r>
      <w:r w:rsidRPr="008E418B">
        <w:rPr>
          <w:rFonts w:ascii="Times New Roman" w:hAnsi="Times New Roman"/>
          <w:i/>
          <w:sz w:val="18"/>
          <w:szCs w:val="18"/>
          <w:lang w:val="id-ID"/>
        </w:rPr>
        <w:t>Op.Cit,</w:t>
      </w:r>
      <w:r w:rsidRPr="008E418B">
        <w:rPr>
          <w:rFonts w:ascii="Times New Roman" w:hAnsi="Times New Roman"/>
          <w:sz w:val="18"/>
          <w:szCs w:val="18"/>
          <w:lang w:val="id-ID"/>
        </w:rPr>
        <w:t xml:space="preserve"> hlm 140.</w:t>
      </w:r>
    </w:p>
  </w:footnote>
  <w:footnote w:id="50">
    <w:p w:rsidR="005D0B30" w:rsidRPr="008E418B" w:rsidRDefault="005D0B30" w:rsidP="005D0B30">
      <w:pPr>
        <w:pStyle w:val="FootnoteText"/>
        <w:jc w:val="both"/>
        <w:rPr>
          <w:rFonts w:ascii="Times New Roman" w:hAnsi="Times New Roman"/>
          <w:sz w:val="18"/>
          <w:szCs w:val="18"/>
        </w:rPr>
      </w:pPr>
      <w:r w:rsidRPr="008E418B">
        <w:rPr>
          <w:rStyle w:val="FootnoteReference"/>
          <w:rFonts w:ascii="Times New Roman" w:hAnsi="Times New Roman"/>
          <w:sz w:val="18"/>
          <w:szCs w:val="18"/>
          <w:lang w:val="id-ID"/>
        </w:rPr>
        <w:footnoteRef/>
      </w:r>
      <w:r w:rsidRPr="008E418B">
        <w:rPr>
          <w:rFonts w:ascii="Times New Roman" w:hAnsi="Times New Roman"/>
          <w:sz w:val="18"/>
          <w:szCs w:val="18"/>
          <w:lang w:val="id-ID"/>
        </w:rPr>
        <w:t xml:space="preserve"> Jimly Asshiddiqie, </w:t>
      </w:r>
      <w:r w:rsidRPr="008E418B">
        <w:rPr>
          <w:rFonts w:ascii="Times New Roman" w:hAnsi="Times New Roman"/>
          <w:i/>
          <w:sz w:val="18"/>
          <w:szCs w:val="18"/>
          <w:lang w:val="id-ID"/>
        </w:rPr>
        <w:t>Menjaga Denyut Konstitusi Satu Tahun Mahkamah Konstitusi</w:t>
      </w:r>
      <w:r w:rsidRPr="008E418B">
        <w:rPr>
          <w:rFonts w:ascii="Times New Roman" w:hAnsi="Times New Roman"/>
          <w:sz w:val="18"/>
          <w:szCs w:val="18"/>
          <w:lang w:val="id-ID"/>
        </w:rPr>
        <w:t xml:space="preserve">, Konspress, (Jakarta: 2004), hlm 6-7.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000" w:rsidRPr="00300BF7" w:rsidRDefault="003D4000" w:rsidP="003D4000">
    <w:pPr>
      <w:pStyle w:val="Header"/>
      <w:jc w:val="right"/>
    </w:pPr>
    <w:r>
      <w:rPr>
        <w:rFonts w:cs="Calibri"/>
        <w:i/>
        <w:sz w:val="18"/>
        <w:szCs w:val="18"/>
      </w:rPr>
      <w:t>Petunjuk Bagi Calon Penulis Al-Daulah : Jurnal Hukum Pidana dan Ketatanegaraan</w:t>
    </w:r>
  </w:p>
  <w:p w:rsidR="00300BF7" w:rsidRPr="003D4000" w:rsidRDefault="00300BF7" w:rsidP="003D4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BF7" w:rsidRPr="00300BF7" w:rsidRDefault="003D4000" w:rsidP="00300BF7">
    <w:pPr>
      <w:pStyle w:val="Header"/>
      <w:jc w:val="right"/>
    </w:pPr>
    <w:r>
      <w:rPr>
        <w:rFonts w:cs="Calibri"/>
        <w:i/>
        <w:sz w:val="18"/>
        <w:szCs w:val="18"/>
      </w:rPr>
      <w:t>Petunjuk Bagi Calon Penulis Al-Daulah : Jurnal Hukum Pidana dan Ketatanegaraan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31CF9"/>
    <w:multiLevelType w:val="hybridMultilevel"/>
    <w:tmpl w:val="2E9CA10E"/>
    <w:lvl w:ilvl="0" w:tplc="1914781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211E8"/>
    <w:multiLevelType w:val="hybridMultilevel"/>
    <w:tmpl w:val="0A301D08"/>
    <w:lvl w:ilvl="0" w:tplc="1478ADA4">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0AD6B16"/>
    <w:multiLevelType w:val="hybridMultilevel"/>
    <w:tmpl w:val="BF2A36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97B1D"/>
    <w:multiLevelType w:val="hybridMultilevel"/>
    <w:tmpl w:val="6D3AE3EE"/>
    <w:lvl w:ilvl="0" w:tplc="605C1C6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1AB83869"/>
    <w:multiLevelType w:val="hybridMultilevel"/>
    <w:tmpl w:val="6F12A6DE"/>
    <w:lvl w:ilvl="0" w:tplc="29CCC1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3B0D58"/>
    <w:multiLevelType w:val="hybridMultilevel"/>
    <w:tmpl w:val="716A4A48"/>
    <w:lvl w:ilvl="0" w:tplc="2822F0D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D85132"/>
    <w:multiLevelType w:val="hybridMultilevel"/>
    <w:tmpl w:val="2B4E9C36"/>
    <w:lvl w:ilvl="0" w:tplc="89061F9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35C21829"/>
    <w:multiLevelType w:val="hybridMultilevel"/>
    <w:tmpl w:val="365CCD0C"/>
    <w:lvl w:ilvl="0" w:tplc="0409000F">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8" w15:restartNumberingAfterBreak="0">
    <w:nsid w:val="44302125"/>
    <w:multiLevelType w:val="hybridMultilevel"/>
    <w:tmpl w:val="0ABC401E"/>
    <w:lvl w:ilvl="0" w:tplc="30629A44">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4693AAE"/>
    <w:multiLevelType w:val="hybridMultilevel"/>
    <w:tmpl w:val="8026BE48"/>
    <w:lvl w:ilvl="0" w:tplc="837A5414">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4A106CC"/>
    <w:multiLevelType w:val="hybridMultilevel"/>
    <w:tmpl w:val="C2CCC8E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457B3F70"/>
    <w:multiLevelType w:val="hybridMultilevel"/>
    <w:tmpl w:val="666A5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80338B"/>
    <w:multiLevelType w:val="hybridMultilevel"/>
    <w:tmpl w:val="5F8C1C30"/>
    <w:lvl w:ilvl="0" w:tplc="0409000F">
      <w:start w:val="1"/>
      <w:numFmt w:val="decimal"/>
      <w:lvlText w:val="%1."/>
      <w:lvlJc w:val="left"/>
      <w:pPr>
        <w:tabs>
          <w:tab w:val="num" w:pos="720"/>
        </w:tabs>
        <w:ind w:left="720" w:hanging="360"/>
      </w:pPr>
      <w:rPr>
        <w:rFonts w:cs="Times New Roman"/>
      </w:rPr>
    </w:lvl>
    <w:lvl w:ilvl="1" w:tplc="C19AA630">
      <w:start w:val="1"/>
      <w:numFmt w:val="lowerLetter"/>
      <w:lvlText w:val="%2."/>
      <w:lvlJc w:val="left"/>
      <w:pPr>
        <w:tabs>
          <w:tab w:val="num" w:pos="1440"/>
        </w:tabs>
        <w:ind w:left="1440" w:hanging="360"/>
      </w:pPr>
      <w:rPr>
        <w:rFonts w:cs="Times New Roman" w:hint="default"/>
        <w:b/>
        <w:bCs/>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61AD7C58"/>
    <w:multiLevelType w:val="hybridMultilevel"/>
    <w:tmpl w:val="FCC24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000429"/>
    <w:multiLevelType w:val="hybridMultilevel"/>
    <w:tmpl w:val="3C68C8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83138A"/>
    <w:multiLevelType w:val="hybridMultilevel"/>
    <w:tmpl w:val="40903E90"/>
    <w:lvl w:ilvl="0" w:tplc="0409000F">
      <w:start w:val="1"/>
      <w:numFmt w:val="decimal"/>
      <w:lvlText w:val="%1."/>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6" w15:restartNumberingAfterBreak="0">
    <w:nsid w:val="798E18D4"/>
    <w:multiLevelType w:val="hybridMultilevel"/>
    <w:tmpl w:val="304053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6"/>
  </w:num>
  <w:num w:numId="2">
    <w:abstractNumId w:val="2"/>
  </w:num>
  <w:num w:numId="3">
    <w:abstractNumId w:val="15"/>
  </w:num>
  <w:num w:numId="4">
    <w:abstractNumId w:val="13"/>
  </w:num>
  <w:num w:numId="5">
    <w:abstractNumId w:val="11"/>
  </w:num>
  <w:num w:numId="6">
    <w:abstractNumId w:val="1"/>
  </w:num>
  <w:num w:numId="7">
    <w:abstractNumId w:val="8"/>
  </w:num>
  <w:num w:numId="8">
    <w:abstractNumId w:val="9"/>
  </w:num>
  <w:num w:numId="9">
    <w:abstractNumId w:val="3"/>
  </w:num>
  <w:num w:numId="10">
    <w:abstractNumId w:val="6"/>
  </w:num>
  <w:num w:numId="11">
    <w:abstractNumId w:val="7"/>
  </w:num>
  <w:num w:numId="12">
    <w:abstractNumId w:val="12"/>
  </w:num>
  <w:num w:numId="13">
    <w:abstractNumId w:val="10"/>
  </w:num>
  <w:num w:numId="14">
    <w:abstractNumId w:val="4"/>
  </w:num>
  <w:num w:numId="15">
    <w:abstractNumId w:val="0"/>
  </w:num>
  <w:num w:numId="16">
    <w:abstractNumId w:val="1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2B3"/>
    <w:rsid w:val="00000336"/>
    <w:rsid w:val="00003532"/>
    <w:rsid w:val="0000682E"/>
    <w:rsid w:val="00007357"/>
    <w:rsid w:val="00010FF7"/>
    <w:rsid w:val="00013FB7"/>
    <w:rsid w:val="0001699E"/>
    <w:rsid w:val="00030CFC"/>
    <w:rsid w:val="00031C8C"/>
    <w:rsid w:val="00033130"/>
    <w:rsid w:val="00045BE5"/>
    <w:rsid w:val="00056214"/>
    <w:rsid w:val="0005630B"/>
    <w:rsid w:val="00057F1F"/>
    <w:rsid w:val="00061D35"/>
    <w:rsid w:val="000705BE"/>
    <w:rsid w:val="00071640"/>
    <w:rsid w:val="000716CA"/>
    <w:rsid w:val="00074747"/>
    <w:rsid w:val="00074936"/>
    <w:rsid w:val="00076681"/>
    <w:rsid w:val="000776B1"/>
    <w:rsid w:val="00087148"/>
    <w:rsid w:val="00090569"/>
    <w:rsid w:val="000A0FD1"/>
    <w:rsid w:val="000A3530"/>
    <w:rsid w:val="000A72D0"/>
    <w:rsid w:val="000B0301"/>
    <w:rsid w:val="000C16B0"/>
    <w:rsid w:val="000D37EA"/>
    <w:rsid w:val="000D3D09"/>
    <w:rsid w:val="000E0F86"/>
    <w:rsid w:val="000E6B19"/>
    <w:rsid w:val="000F1D1F"/>
    <w:rsid w:val="000F47A8"/>
    <w:rsid w:val="0010282A"/>
    <w:rsid w:val="00117434"/>
    <w:rsid w:val="001232EF"/>
    <w:rsid w:val="0012694D"/>
    <w:rsid w:val="00131728"/>
    <w:rsid w:val="0013503B"/>
    <w:rsid w:val="00143271"/>
    <w:rsid w:val="00143FB1"/>
    <w:rsid w:val="00145DAA"/>
    <w:rsid w:val="00157FBA"/>
    <w:rsid w:val="001623DB"/>
    <w:rsid w:val="00166A54"/>
    <w:rsid w:val="00175B17"/>
    <w:rsid w:val="00177945"/>
    <w:rsid w:val="0018059A"/>
    <w:rsid w:val="00186CB6"/>
    <w:rsid w:val="0019065E"/>
    <w:rsid w:val="00191AB1"/>
    <w:rsid w:val="001A2B7C"/>
    <w:rsid w:val="001A5655"/>
    <w:rsid w:val="001B0BE7"/>
    <w:rsid w:val="001B28D4"/>
    <w:rsid w:val="001B39B1"/>
    <w:rsid w:val="001B3D79"/>
    <w:rsid w:val="001B7FA1"/>
    <w:rsid w:val="001C3C30"/>
    <w:rsid w:val="001E3256"/>
    <w:rsid w:val="001F0452"/>
    <w:rsid w:val="001F4FC1"/>
    <w:rsid w:val="001F5632"/>
    <w:rsid w:val="001F6308"/>
    <w:rsid w:val="001F6B21"/>
    <w:rsid w:val="001F6E55"/>
    <w:rsid w:val="001F73DB"/>
    <w:rsid w:val="001F7E37"/>
    <w:rsid w:val="00200138"/>
    <w:rsid w:val="0020757A"/>
    <w:rsid w:val="0021387D"/>
    <w:rsid w:val="002140AB"/>
    <w:rsid w:val="002320CF"/>
    <w:rsid w:val="00232D03"/>
    <w:rsid w:val="00243679"/>
    <w:rsid w:val="002444FD"/>
    <w:rsid w:val="00246B70"/>
    <w:rsid w:val="002545B5"/>
    <w:rsid w:val="002579C3"/>
    <w:rsid w:val="00260357"/>
    <w:rsid w:val="00265AF3"/>
    <w:rsid w:val="00271D78"/>
    <w:rsid w:val="00273997"/>
    <w:rsid w:val="00273A1F"/>
    <w:rsid w:val="00274630"/>
    <w:rsid w:val="002747A3"/>
    <w:rsid w:val="00280094"/>
    <w:rsid w:val="0028416C"/>
    <w:rsid w:val="00285A83"/>
    <w:rsid w:val="00287BE2"/>
    <w:rsid w:val="00291531"/>
    <w:rsid w:val="00292D81"/>
    <w:rsid w:val="002A1C68"/>
    <w:rsid w:val="002A7F2B"/>
    <w:rsid w:val="002C5089"/>
    <w:rsid w:val="002C5495"/>
    <w:rsid w:val="002C6262"/>
    <w:rsid w:val="002C6287"/>
    <w:rsid w:val="002C70CB"/>
    <w:rsid w:val="002F77D4"/>
    <w:rsid w:val="00300BF7"/>
    <w:rsid w:val="003027D4"/>
    <w:rsid w:val="00302D46"/>
    <w:rsid w:val="0030570A"/>
    <w:rsid w:val="00321CEA"/>
    <w:rsid w:val="003264A3"/>
    <w:rsid w:val="0033600F"/>
    <w:rsid w:val="003452D9"/>
    <w:rsid w:val="003534D8"/>
    <w:rsid w:val="003560FA"/>
    <w:rsid w:val="00360334"/>
    <w:rsid w:val="0036740B"/>
    <w:rsid w:val="00381360"/>
    <w:rsid w:val="00385AD7"/>
    <w:rsid w:val="003873FB"/>
    <w:rsid w:val="003A76F3"/>
    <w:rsid w:val="003B1672"/>
    <w:rsid w:val="003B3BF4"/>
    <w:rsid w:val="003B6524"/>
    <w:rsid w:val="003C1D2C"/>
    <w:rsid w:val="003C5DE1"/>
    <w:rsid w:val="003D4000"/>
    <w:rsid w:val="003D4547"/>
    <w:rsid w:val="003D4787"/>
    <w:rsid w:val="003D52C1"/>
    <w:rsid w:val="003D567B"/>
    <w:rsid w:val="003D6983"/>
    <w:rsid w:val="003E19F3"/>
    <w:rsid w:val="003E321A"/>
    <w:rsid w:val="003E43EF"/>
    <w:rsid w:val="003F00A6"/>
    <w:rsid w:val="003F6E35"/>
    <w:rsid w:val="003F7605"/>
    <w:rsid w:val="0040049B"/>
    <w:rsid w:val="0040075B"/>
    <w:rsid w:val="00400C1D"/>
    <w:rsid w:val="00400C82"/>
    <w:rsid w:val="00401488"/>
    <w:rsid w:val="00421821"/>
    <w:rsid w:val="0042335A"/>
    <w:rsid w:val="00425581"/>
    <w:rsid w:val="00425D26"/>
    <w:rsid w:val="004271EE"/>
    <w:rsid w:val="0043352D"/>
    <w:rsid w:val="00437902"/>
    <w:rsid w:val="00447288"/>
    <w:rsid w:val="004476A6"/>
    <w:rsid w:val="00450F45"/>
    <w:rsid w:val="0045173D"/>
    <w:rsid w:val="00461011"/>
    <w:rsid w:val="004621EA"/>
    <w:rsid w:val="00463A5A"/>
    <w:rsid w:val="00464CE7"/>
    <w:rsid w:val="004762E0"/>
    <w:rsid w:val="00476EAB"/>
    <w:rsid w:val="004829D6"/>
    <w:rsid w:val="00482E1C"/>
    <w:rsid w:val="0049631C"/>
    <w:rsid w:val="004A28AE"/>
    <w:rsid w:val="004A2B58"/>
    <w:rsid w:val="004A3ED7"/>
    <w:rsid w:val="004A5423"/>
    <w:rsid w:val="004A65E2"/>
    <w:rsid w:val="004A738F"/>
    <w:rsid w:val="004B27AC"/>
    <w:rsid w:val="004B29A1"/>
    <w:rsid w:val="004B2A65"/>
    <w:rsid w:val="004D556F"/>
    <w:rsid w:val="004E2FD3"/>
    <w:rsid w:val="004E36BD"/>
    <w:rsid w:val="004E3D52"/>
    <w:rsid w:val="004E477C"/>
    <w:rsid w:val="004E5089"/>
    <w:rsid w:val="004E632A"/>
    <w:rsid w:val="004F096D"/>
    <w:rsid w:val="004F2DD1"/>
    <w:rsid w:val="004F51B3"/>
    <w:rsid w:val="004F579A"/>
    <w:rsid w:val="004F7EAF"/>
    <w:rsid w:val="005133C6"/>
    <w:rsid w:val="00517A70"/>
    <w:rsid w:val="00521C61"/>
    <w:rsid w:val="00525016"/>
    <w:rsid w:val="00525CCE"/>
    <w:rsid w:val="005332E7"/>
    <w:rsid w:val="00546B8E"/>
    <w:rsid w:val="00565F1E"/>
    <w:rsid w:val="005812D2"/>
    <w:rsid w:val="00584C53"/>
    <w:rsid w:val="0058658E"/>
    <w:rsid w:val="005936B7"/>
    <w:rsid w:val="00595936"/>
    <w:rsid w:val="005959EC"/>
    <w:rsid w:val="005A3BAA"/>
    <w:rsid w:val="005B5BEA"/>
    <w:rsid w:val="005B69A1"/>
    <w:rsid w:val="005C0455"/>
    <w:rsid w:val="005C0A57"/>
    <w:rsid w:val="005C0AF2"/>
    <w:rsid w:val="005D0B30"/>
    <w:rsid w:val="005D53EC"/>
    <w:rsid w:val="005D6528"/>
    <w:rsid w:val="005E1593"/>
    <w:rsid w:val="005E4683"/>
    <w:rsid w:val="005E497E"/>
    <w:rsid w:val="005E69B3"/>
    <w:rsid w:val="005F0F35"/>
    <w:rsid w:val="005F76CE"/>
    <w:rsid w:val="00606BEF"/>
    <w:rsid w:val="00607EA7"/>
    <w:rsid w:val="00610999"/>
    <w:rsid w:val="00616AED"/>
    <w:rsid w:val="00623280"/>
    <w:rsid w:val="00627BA5"/>
    <w:rsid w:val="006303C3"/>
    <w:rsid w:val="006312EE"/>
    <w:rsid w:val="0064492E"/>
    <w:rsid w:val="0066024B"/>
    <w:rsid w:val="0066074D"/>
    <w:rsid w:val="00662DD8"/>
    <w:rsid w:val="0066312B"/>
    <w:rsid w:val="006633EA"/>
    <w:rsid w:val="006676EA"/>
    <w:rsid w:val="006736EB"/>
    <w:rsid w:val="00674E64"/>
    <w:rsid w:val="00680131"/>
    <w:rsid w:val="00681227"/>
    <w:rsid w:val="00684038"/>
    <w:rsid w:val="00690CAC"/>
    <w:rsid w:val="00692529"/>
    <w:rsid w:val="00692DAB"/>
    <w:rsid w:val="00693CD7"/>
    <w:rsid w:val="00694865"/>
    <w:rsid w:val="00696F88"/>
    <w:rsid w:val="006A1348"/>
    <w:rsid w:val="006A29BD"/>
    <w:rsid w:val="006A7584"/>
    <w:rsid w:val="006A79F4"/>
    <w:rsid w:val="006B0CA5"/>
    <w:rsid w:val="006B46AD"/>
    <w:rsid w:val="006C2C46"/>
    <w:rsid w:val="006C6BD8"/>
    <w:rsid w:val="006D2924"/>
    <w:rsid w:val="006D439C"/>
    <w:rsid w:val="006D4937"/>
    <w:rsid w:val="006D761D"/>
    <w:rsid w:val="006E38E3"/>
    <w:rsid w:val="006E62F1"/>
    <w:rsid w:val="006F209D"/>
    <w:rsid w:val="006F3CBC"/>
    <w:rsid w:val="006F4F96"/>
    <w:rsid w:val="006F76B8"/>
    <w:rsid w:val="006F7C08"/>
    <w:rsid w:val="007117A9"/>
    <w:rsid w:val="0071233D"/>
    <w:rsid w:val="007134CD"/>
    <w:rsid w:val="00726DE1"/>
    <w:rsid w:val="0073171A"/>
    <w:rsid w:val="00747D02"/>
    <w:rsid w:val="00750A06"/>
    <w:rsid w:val="007550EC"/>
    <w:rsid w:val="00762800"/>
    <w:rsid w:val="00763FBB"/>
    <w:rsid w:val="00765BE8"/>
    <w:rsid w:val="0076632A"/>
    <w:rsid w:val="00770208"/>
    <w:rsid w:val="007728F8"/>
    <w:rsid w:val="007909F0"/>
    <w:rsid w:val="00795FB6"/>
    <w:rsid w:val="00796065"/>
    <w:rsid w:val="007A6919"/>
    <w:rsid w:val="007B59C0"/>
    <w:rsid w:val="007C522F"/>
    <w:rsid w:val="007D38B9"/>
    <w:rsid w:val="007E074A"/>
    <w:rsid w:val="007E3B03"/>
    <w:rsid w:val="007E4667"/>
    <w:rsid w:val="0080279A"/>
    <w:rsid w:val="008113FE"/>
    <w:rsid w:val="00813CC9"/>
    <w:rsid w:val="008164F6"/>
    <w:rsid w:val="00817CED"/>
    <w:rsid w:val="008214BA"/>
    <w:rsid w:val="0082337F"/>
    <w:rsid w:val="0083254D"/>
    <w:rsid w:val="008338E8"/>
    <w:rsid w:val="00851D3D"/>
    <w:rsid w:val="00854860"/>
    <w:rsid w:val="0086325F"/>
    <w:rsid w:val="00864944"/>
    <w:rsid w:val="008667EE"/>
    <w:rsid w:val="008727E1"/>
    <w:rsid w:val="00874DCF"/>
    <w:rsid w:val="00882630"/>
    <w:rsid w:val="00882BAA"/>
    <w:rsid w:val="00890CF9"/>
    <w:rsid w:val="00892F93"/>
    <w:rsid w:val="00897BC3"/>
    <w:rsid w:val="008A1385"/>
    <w:rsid w:val="008A13AD"/>
    <w:rsid w:val="008A1E36"/>
    <w:rsid w:val="008A2362"/>
    <w:rsid w:val="008A6EF9"/>
    <w:rsid w:val="008C56F0"/>
    <w:rsid w:val="008C6889"/>
    <w:rsid w:val="008D0B09"/>
    <w:rsid w:val="008D6D21"/>
    <w:rsid w:val="008D6D5D"/>
    <w:rsid w:val="008F12AC"/>
    <w:rsid w:val="008F22EC"/>
    <w:rsid w:val="008F33D7"/>
    <w:rsid w:val="008F3459"/>
    <w:rsid w:val="008F4969"/>
    <w:rsid w:val="0090380C"/>
    <w:rsid w:val="00904DBE"/>
    <w:rsid w:val="00905362"/>
    <w:rsid w:val="00907371"/>
    <w:rsid w:val="00920E73"/>
    <w:rsid w:val="00926C21"/>
    <w:rsid w:val="0093149D"/>
    <w:rsid w:val="00936BCB"/>
    <w:rsid w:val="00940802"/>
    <w:rsid w:val="00942D15"/>
    <w:rsid w:val="00952618"/>
    <w:rsid w:val="0095425D"/>
    <w:rsid w:val="009656A8"/>
    <w:rsid w:val="00971956"/>
    <w:rsid w:val="009753B4"/>
    <w:rsid w:val="00975E28"/>
    <w:rsid w:val="009768ED"/>
    <w:rsid w:val="00977C81"/>
    <w:rsid w:val="00990048"/>
    <w:rsid w:val="00993D56"/>
    <w:rsid w:val="00993E4C"/>
    <w:rsid w:val="009A0A10"/>
    <w:rsid w:val="009A3489"/>
    <w:rsid w:val="009A3A94"/>
    <w:rsid w:val="009A4CB6"/>
    <w:rsid w:val="009B090D"/>
    <w:rsid w:val="009B2DC0"/>
    <w:rsid w:val="009B720B"/>
    <w:rsid w:val="009C66B8"/>
    <w:rsid w:val="009C7784"/>
    <w:rsid w:val="009D4E87"/>
    <w:rsid w:val="009E0AE5"/>
    <w:rsid w:val="009E7120"/>
    <w:rsid w:val="009E77C7"/>
    <w:rsid w:val="009F2076"/>
    <w:rsid w:val="009F6B12"/>
    <w:rsid w:val="00A00FA3"/>
    <w:rsid w:val="00A03AB6"/>
    <w:rsid w:val="00A0460E"/>
    <w:rsid w:val="00A05957"/>
    <w:rsid w:val="00A13B6C"/>
    <w:rsid w:val="00A20519"/>
    <w:rsid w:val="00A25D13"/>
    <w:rsid w:val="00A47C5D"/>
    <w:rsid w:val="00A50CBD"/>
    <w:rsid w:val="00A533E1"/>
    <w:rsid w:val="00A53F37"/>
    <w:rsid w:val="00A56FDA"/>
    <w:rsid w:val="00A60E45"/>
    <w:rsid w:val="00A61E50"/>
    <w:rsid w:val="00A62955"/>
    <w:rsid w:val="00A647E1"/>
    <w:rsid w:val="00A65249"/>
    <w:rsid w:val="00A740F3"/>
    <w:rsid w:val="00A76D83"/>
    <w:rsid w:val="00A77F27"/>
    <w:rsid w:val="00A80EC8"/>
    <w:rsid w:val="00A835B8"/>
    <w:rsid w:val="00A850FC"/>
    <w:rsid w:val="00A8592F"/>
    <w:rsid w:val="00A85B94"/>
    <w:rsid w:val="00A85FB5"/>
    <w:rsid w:val="00A95549"/>
    <w:rsid w:val="00AA442E"/>
    <w:rsid w:val="00AA4A36"/>
    <w:rsid w:val="00AA6C6A"/>
    <w:rsid w:val="00AB21FE"/>
    <w:rsid w:val="00AB5BDA"/>
    <w:rsid w:val="00AB63F4"/>
    <w:rsid w:val="00AB64C9"/>
    <w:rsid w:val="00AC095B"/>
    <w:rsid w:val="00AC5818"/>
    <w:rsid w:val="00AC60A8"/>
    <w:rsid w:val="00AC6BA1"/>
    <w:rsid w:val="00AC7523"/>
    <w:rsid w:val="00AD0935"/>
    <w:rsid w:val="00AD58EA"/>
    <w:rsid w:val="00AE61CE"/>
    <w:rsid w:val="00AF1444"/>
    <w:rsid w:val="00AF2441"/>
    <w:rsid w:val="00AF35B6"/>
    <w:rsid w:val="00B04AEE"/>
    <w:rsid w:val="00B07400"/>
    <w:rsid w:val="00B14A8F"/>
    <w:rsid w:val="00B23761"/>
    <w:rsid w:val="00B24074"/>
    <w:rsid w:val="00B3792C"/>
    <w:rsid w:val="00B402E2"/>
    <w:rsid w:val="00B41C1C"/>
    <w:rsid w:val="00B41D24"/>
    <w:rsid w:val="00B4524E"/>
    <w:rsid w:val="00B45A42"/>
    <w:rsid w:val="00B475B3"/>
    <w:rsid w:val="00B50F0F"/>
    <w:rsid w:val="00B5106A"/>
    <w:rsid w:val="00B56CCE"/>
    <w:rsid w:val="00B56CEB"/>
    <w:rsid w:val="00B57E9C"/>
    <w:rsid w:val="00B60F80"/>
    <w:rsid w:val="00B65DFE"/>
    <w:rsid w:val="00B802A0"/>
    <w:rsid w:val="00B82767"/>
    <w:rsid w:val="00BA55D9"/>
    <w:rsid w:val="00BA66A1"/>
    <w:rsid w:val="00BA7C52"/>
    <w:rsid w:val="00BB1C36"/>
    <w:rsid w:val="00BB2332"/>
    <w:rsid w:val="00BB411D"/>
    <w:rsid w:val="00BB498D"/>
    <w:rsid w:val="00BC7F6C"/>
    <w:rsid w:val="00BE0F44"/>
    <w:rsid w:val="00BE1DE8"/>
    <w:rsid w:val="00BE2BF5"/>
    <w:rsid w:val="00BF7144"/>
    <w:rsid w:val="00C204E5"/>
    <w:rsid w:val="00C20581"/>
    <w:rsid w:val="00C247CF"/>
    <w:rsid w:val="00C324AC"/>
    <w:rsid w:val="00C40255"/>
    <w:rsid w:val="00C417DA"/>
    <w:rsid w:val="00C43920"/>
    <w:rsid w:val="00C45EA7"/>
    <w:rsid w:val="00C54440"/>
    <w:rsid w:val="00C55C90"/>
    <w:rsid w:val="00C62395"/>
    <w:rsid w:val="00C66AA3"/>
    <w:rsid w:val="00C673CD"/>
    <w:rsid w:val="00C677BF"/>
    <w:rsid w:val="00C75A31"/>
    <w:rsid w:val="00C7657B"/>
    <w:rsid w:val="00C804CE"/>
    <w:rsid w:val="00C80827"/>
    <w:rsid w:val="00C8703D"/>
    <w:rsid w:val="00C96FB8"/>
    <w:rsid w:val="00CA190D"/>
    <w:rsid w:val="00CB2C7C"/>
    <w:rsid w:val="00CB69DB"/>
    <w:rsid w:val="00CC62B3"/>
    <w:rsid w:val="00CC6AAC"/>
    <w:rsid w:val="00CD3C8F"/>
    <w:rsid w:val="00CD4AAC"/>
    <w:rsid w:val="00CD6178"/>
    <w:rsid w:val="00CE11A4"/>
    <w:rsid w:val="00CE26AE"/>
    <w:rsid w:val="00CE6596"/>
    <w:rsid w:val="00CE74BC"/>
    <w:rsid w:val="00CF02CB"/>
    <w:rsid w:val="00CF3B02"/>
    <w:rsid w:val="00CF3EC9"/>
    <w:rsid w:val="00CF46FC"/>
    <w:rsid w:val="00CF6A53"/>
    <w:rsid w:val="00CF78CD"/>
    <w:rsid w:val="00D001CF"/>
    <w:rsid w:val="00D057B8"/>
    <w:rsid w:val="00D0780E"/>
    <w:rsid w:val="00D11368"/>
    <w:rsid w:val="00D11EDF"/>
    <w:rsid w:val="00D12587"/>
    <w:rsid w:val="00D133FB"/>
    <w:rsid w:val="00D17280"/>
    <w:rsid w:val="00D304EF"/>
    <w:rsid w:val="00D33FD7"/>
    <w:rsid w:val="00D34345"/>
    <w:rsid w:val="00D35AD5"/>
    <w:rsid w:val="00D3733E"/>
    <w:rsid w:val="00D41365"/>
    <w:rsid w:val="00D515B2"/>
    <w:rsid w:val="00D60061"/>
    <w:rsid w:val="00D60880"/>
    <w:rsid w:val="00D6204E"/>
    <w:rsid w:val="00D6498E"/>
    <w:rsid w:val="00D72960"/>
    <w:rsid w:val="00D74C28"/>
    <w:rsid w:val="00D81B17"/>
    <w:rsid w:val="00D96973"/>
    <w:rsid w:val="00D976F9"/>
    <w:rsid w:val="00DB0F04"/>
    <w:rsid w:val="00DC1C32"/>
    <w:rsid w:val="00DC46DF"/>
    <w:rsid w:val="00DC500A"/>
    <w:rsid w:val="00DD5106"/>
    <w:rsid w:val="00DD5BBE"/>
    <w:rsid w:val="00DE4B7A"/>
    <w:rsid w:val="00DE5E5F"/>
    <w:rsid w:val="00DF7781"/>
    <w:rsid w:val="00E00A8C"/>
    <w:rsid w:val="00E03BAD"/>
    <w:rsid w:val="00E0503C"/>
    <w:rsid w:val="00E06302"/>
    <w:rsid w:val="00E13619"/>
    <w:rsid w:val="00E25AC0"/>
    <w:rsid w:val="00E25B1B"/>
    <w:rsid w:val="00E3098B"/>
    <w:rsid w:val="00E30C6F"/>
    <w:rsid w:val="00E340BE"/>
    <w:rsid w:val="00E4052C"/>
    <w:rsid w:val="00E4226A"/>
    <w:rsid w:val="00E42297"/>
    <w:rsid w:val="00E55D85"/>
    <w:rsid w:val="00E627A1"/>
    <w:rsid w:val="00E6460F"/>
    <w:rsid w:val="00E72824"/>
    <w:rsid w:val="00E8517A"/>
    <w:rsid w:val="00E851E7"/>
    <w:rsid w:val="00E851FA"/>
    <w:rsid w:val="00E85381"/>
    <w:rsid w:val="00E90CCB"/>
    <w:rsid w:val="00EC6321"/>
    <w:rsid w:val="00EC6FE9"/>
    <w:rsid w:val="00EC7E19"/>
    <w:rsid w:val="00EC7E8F"/>
    <w:rsid w:val="00ED1752"/>
    <w:rsid w:val="00ED3B68"/>
    <w:rsid w:val="00EE133F"/>
    <w:rsid w:val="00EE19D8"/>
    <w:rsid w:val="00EE2132"/>
    <w:rsid w:val="00EE568C"/>
    <w:rsid w:val="00EF003C"/>
    <w:rsid w:val="00EF4C75"/>
    <w:rsid w:val="00EF5847"/>
    <w:rsid w:val="00EF5E41"/>
    <w:rsid w:val="00EF676C"/>
    <w:rsid w:val="00F05752"/>
    <w:rsid w:val="00F06C9B"/>
    <w:rsid w:val="00F07019"/>
    <w:rsid w:val="00F12E97"/>
    <w:rsid w:val="00F15636"/>
    <w:rsid w:val="00F161BC"/>
    <w:rsid w:val="00F17F76"/>
    <w:rsid w:val="00F21298"/>
    <w:rsid w:val="00F242DB"/>
    <w:rsid w:val="00F24A94"/>
    <w:rsid w:val="00F2539B"/>
    <w:rsid w:val="00F25E10"/>
    <w:rsid w:val="00F31963"/>
    <w:rsid w:val="00F40C86"/>
    <w:rsid w:val="00F46FE4"/>
    <w:rsid w:val="00F47162"/>
    <w:rsid w:val="00F50005"/>
    <w:rsid w:val="00F51C5E"/>
    <w:rsid w:val="00F55A97"/>
    <w:rsid w:val="00F609FD"/>
    <w:rsid w:val="00F749A2"/>
    <w:rsid w:val="00F75E4D"/>
    <w:rsid w:val="00F81F46"/>
    <w:rsid w:val="00F863AA"/>
    <w:rsid w:val="00F94A42"/>
    <w:rsid w:val="00F958F1"/>
    <w:rsid w:val="00F95EAC"/>
    <w:rsid w:val="00F9727D"/>
    <w:rsid w:val="00FA18B1"/>
    <w:rsid w:val="00FA293A"/>
    <w:rsid w:val="00FA2E15"/>
    <w:rsid w:val="00FA5E33"/>
    <w:rsid w:val="00FA6D74"/>
    <w:rsid w:val="00FA7EFE"/>
    <w:rsid w:val="00FB189C"/>
    <w:rsid w:val="00FB1AD5"/>
    <w:rsid w:val="00FB7C99"/>
    <w:rsid w:val="00FB7D53"/>
    <w:rsid w:val="00FC07E9"/>
    <w:rsid w:val="00FC6E8B"/>
    <w:rsid w:val="00FD6311"/>
    <w:rsid w:val="00FE36BF"/>
    <w:rsid w:val="00FF6F8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5A69B"/>
  <w15:docId w15:val="{8FE49304-B375-4994-BEBB-8C350449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Char Char,Footnote Text Char Char Char Char Char,Footnote Text Char Char Char Char Char Char Char Char,Footnote Text Char Char Char Char Char Char Char Char Char Char Char Char Char Char,Footnote Text Char Cha"/>
    <w:basedOn w:val="Normal"/>
    <w:link w:val="FootnoteTextChar"/>
    <w:uiPriority w:val="99"/>
    <w:unhideWhenUsed/>
    <w:rsid w:val="003534D8"/>
    <w:pPr>
      <w:spacing w:after="0" w:line="240" w:lineRule="auto"/>
    </w:pPr>
    <w:rPr>
      <w:sz w:val="20"/>
      <w:szCs w:val="20"/>
    </w:rPr>
  </w:style>
  <w:style w:type="character" w:customStyle="1" w:styleId="FootnoteTextChar">
    <w:name w:val="Footnote Text Char"/>
    <w:aliases w:val="Char Char,Footnote Text Char Char Char,Footnote Text Char Char Char Char Char Char,Footnote Text Char Char Char Char Char Char Char Char Char,Footnote Text Char Char Char Char Char Char Char Char Char Char Char Char Char Char Char"/>
    <w:basedOn w:val="DefaultParagraphFont"/>
    <w:link w:val="FootnoteText"/>
    <w:uiPriority w:val="99"/>
    <w:rsid w:val="003534D8"/>
    <w:rPr>
      <w:sz w:val="20"/>
      <w:szCs w:val="20"/>
    </w:rPr>
  </w:style>
  <w:style w:type="character" w:styleId="FootnoteReference">
    <w:name w:val="footnote reference"/>
    <w:basedOn w:val="DefaultParagraphFont"/>
    <w:uiPriority w:val="99"/>
    <w:unhideWhenUsed/>
    <w:rsid w:val="003534D8"/>
    <w:rPr>
      <w:vertAlign w:val="superscript"/>
    </w:rPr>
  </w:style>
  <w:style w:type="paragraph" w:styleId="ListParagraph">
    <w:name w:val="List Paragraph"/>
    <w:basedOn w:val="Normal"/>
    <w:uiPriority w:val="34"/>
    <w:qFormat/>
    <w:rsid w:val="00E8517A"/>
    <w:pPr>
      <w:ind w:left="720"/>
      <w:contextualSpacing/>
    </w:pPr>
  </w:style>
  <w:style w:type="paragraph" w:styleId="Header">
    <w:name w:val="header"/>
    <w:basedOn w:val="Normal"/>
    <w:link w:val="HeaderChar"/>
    <w:uiPriority w:val="99"/>
    <w:unhideWhenUsed/>
    <w:rsid w:val="001B3D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D79"/>
  </w:style>
  <w:style w:type="paragraph" w:styleId="Footer">
    <w:name w:val="footer"/>
    <w:basedOn w:val="Normal"/>
    <w:link w:val="FooterChar"/>
    <w:uiPriority w:val="99"/>
    <w:unhideWhenUsed/>
    <w:rsid w:val="001B3D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D79"/>
  </w:style>
  <w:style w:type="paragraph" w:styleId="BalloonText">
    <w:name w:val="Balloon Text"/>
    <w:basedOn w:val="Normal"/>
    <w:link w:val="BalloonTextChar"/>
    <w:uiPriority w:val="99"/>
    <w:semiHidden/>
    <w:unhideWhenUsed/>
    <w:rsid w:val="004A7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38F"/>
    <w:rPr>
      <w:rFonts w:ascii="Tahoma" w:hAnsi="Tahoma" w:cs="Tahoma"/>
      <w:sz w:val="16"/>
      <w:szCs w:val="16"/>
    </w:rPr>
  </w:style>
  <w:style w:type="paragraph" w:styleId="Bibliography">
    <w:name w:val="Bibliography"/>
    <w:basedOn w:val="Normal"/>
    <w:next w:val="Normal"/>
    <w:uiPriority w:val="37"/>
    <w:semiHidden/>
    <w:unhideWhenUsed/>
    <w:rsid w:val="009768ED"/>
  </w:style>
  <w:style w:type="paragraph" w:styleId="NormalWeb">
    <w:name w:val="Normal (Web)"/>
    <w:basedOn w:val="Normal"/>
    <w:uiPriority w:val="99"/>
    <w:unhideWhenUsed/>
    <w:rsid w:val="009768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unhideWhenUsed/>
    <w:rsid w:val="00FB1AD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868933">
      <w:bodyDiv w:val="1"/>
      <w:marLeft w:val="0"/>
      <w:marRight w:val="0"/>
      <w:marTop w:val="0"/>
      <w:marBottom w:val="0"/>
      <w:divBdr>
        <w:top w:val="none" w:sz="0" w:space="0" w:color="auto"/>
        <w:left w:val="none" w:sz="0" w:space="0" w:color="auto"/>
        <w:bottom w:val="none" w:sz="0" w:space="0" w:color="auto"/>
        <w:right w:val="none" w:sz="0" w:space="0" w:color="auto"/>
      </w:divBdr>
    </w:div>
    <w:div w:id="435714561">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64058876">
      <w:bodyDiv w:val="1"/>
      <w:marLeft w:val="0"/>
      <w:marRight w:val="0"/>
      <w:marTop w:val="0"/>
      <w:marBottom w:val="0"/>
      <w:divBdr>
        <w:top w:val="none" w:sz="0" w:space="0" w:color="auto"/>
        <w:left w:val="none" w:sz="0" w:space="0" w:color="auto"/>
        <w:bottom w:val="none" w:sz="0" w:space="0" w:color="auto"/>
        <w:right w:val="none" w:sz="0" w:space="0" w:color="auto"/>
      </w:divBdr>
    </w:div>
    <w:div w:id="882836505">
      <w:bodyDiv w:val="1"/>
      <w:marLeft w:val="0"/>
      <w:marRight w:val="0"/>
      <w:marTop w:val="0"/>
      <w:marBottom w:val="0"/>
      <w:divBdr>
        <w:top w:val="none" w:sz="0" w:space="0" w:color="auto"/>
        <w:left w:val="none" w:sz="0" w:space="0" w:color="auto"/>
        <w:bottom w:val="none" w:sz="0" w:space="0" w:color="auto"/>
        <w:right w:val="none" w:sz="0" w:space="0" w:color="auto"/>
      </w:divBdr>
    </w:div>
    <w:div w:id="1052195960">
      <w:bodyDiv w:val="1"/>
      <w:marLeft w:val="0"/>
      <w:marRight w:val="0"/>
      <w:marTop w:val="0"/>
      <w:marBottom w:val="0"/>
      <w:divBdr>
        <w:top w:val="none" w:sz="0" w:space="0" w:color="auto"/>
        <w:left w:val="none" w:sz="0" w:space="0" w:color="auto"/>
        <w:bottom w:val="none" w:sz="0" w:space="0" w:color="auto"/>
        <w:right w:val="none" w:sz="0" w:space="0" w:color="auto"/>
      </w:divBdr>
    </w:div>
    <w:div w:id="107539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Wid17</b:Tag>
    <b:SourceType>Book</b:SourceType>
    <b:Guid>{1674857B-0B85-4D30-90B1-E920587E91ED}</b:Guid>
    <b:Title>Hukum pidanga di bidang teknologi informasi cybercrime law: telaah teoritik dan bedah kasus</b:Title>
    <b:Year>2017</b:Year>
    <b:Author>
      <b:Author>
        <b:NameList>
          <b:Person>
            <b:Last>Cahyadi</b:Last>
            <b:First>Widodo</b:First>
          </b:Person>
        </b:NameList>
      </b:Author>
    </b:Author>
    <b:City>Malang</b:City>
    <b:Publisher>Indonesia Works Press</b:Publisher>
    <b:RefOrder>1</b:RefOrder>
  </b:Source>
  <b:Source>
    <b:Tag>Har17</b:Tag>
    <b:SourceType>InternetSite</b:SourceType>
    <b:Guid>{6B16F698-FB6C-4CCE-AF7B-56CFB8B5FBB2}</b:Guid>
    <b:Author>
      <b:Author>
        <b:NameList>
          <b:Person>
            <b:Last>Haruddin</b:Last>
          </b:Person>
        </b:NameList>
      </b:Author>
    </b:Author>
    <b:InternetSiteTitle>Website Perpustakaan UIN Alauddin Makassar</b:InternetSiteTitle>
    <b:Year>2017</b:Year>
    <b:YearAccessed>2017</b:YearAccessed>
    <b:MonthAccessed>Februari</b:MonthAccessed>
    <b:DayAccessed>26</b:DayAccessed>
    <b:URL>http://perpustakaan.uin-alauddin.ac.id/rapat-persiapan-pengajuan-akreditasi/</b:URL>
    <b:RefOrder>2</b:RefOrder>
  </b:Source>
  <b:Source>
    <b:Tag>For15</b:Tag>
    <b:SourceType>ConferenceProceedings</b:SourceType>
    <b:Guid>{B58ED729-C209-4C16-89BD-070FAE6D474A}</b:Guid>
    <b:Title>Revolusi Mental di Minangkabau Awal Abad XX: Kajian atas Naskah Khutbah Syaikh Abdul Hamid Hakim</b:Title>
    <b:Year>2015</b:Year>
    <b:YearAccessed>2017</b:YearAccessed>
    <b:MonthAccessed>12</b:MonthAccessed>
    <b:DayAccessed>26</b:DayAccessed>
    <b:URL>http://repositori.uin-alauddin.ac.id/5530/</b:URL>
    <b:Pages>265-270</b:Pages>
    <b:ConferenceName>Islam and Humanities (Islam and Malay Local Wisdom)</b:ConferenceName>
    <b:City>Malaysia</b:City>
    <b:Author>
      <b:Author>
        <b:Corporate>Forum Dosen ADIA</b:Corporate>
      </b:Author>
      <b:Editor>
        <b:NameList>
          <b:Person>
            <b:Last>Hadi</b:Last>
            <b:First>Syofyan</b:First>
          </b:Person>
        </b:NameList>
      </b:Editor>
    </b:Author>
    <b:RefOrder>3</b:RefOrder>
  </b:Source>
  <b:Source>
    <b:Tag>Man16</b:Tag>
    <b:SourceType>ConferenceProceedings</b:SourceType>
    <b:Guid>{F7149474-EDE4-46D5-9E50-B07C932DD4FB}</b:Guid>
    <b:Author>
      <b:Author>
        <b:NameList>
          <b:Person>
            <b:Last>Islam</b:Last>
            <b:First>Manajemen</b:First>
            <b:Middle>Pendidikan</b:Middle>
          </b:Person>
        </b:NameList>
      </b:Author>
      <b:Editor>
        <b:NameList>
          <b:Person>
            <b:Last>dkk</b:Last>
            <b:First>Mulyono</b:First>
          </b:Person>
        </b:NameList>
      </b:Editor>
    </b:Author>
    <b:Title>Reformasi Pendidikan Islam</b:Title>
    <b:Pages>103</b:Pages>
    <b:Year>2016</b:Year>
    <b:ConferenceName>Prosiding Seminar Nasional Mengembangkan Kurikulum Manajemen Pendidikan Islam Berbasis SNPT Ber-KKNI Untuk Menghasilkan Lulusan yang Berdaya Saing Tinggi</b:ConferenceName>
    <b:City>Makassar</b:City>
    <b:Publisher>Jurusan Manajemen Pendidikan Islam Kerjasama dengan Forum Komunikasi Jurusan KI/MPI se-PTKIN/PTKIS</b:Publisher>
    <b:URL>http://repositori.uin-alauddin.ac.id/142/</b:URL>
    <b:RefOrder>4</b:RefOrder>
  </b:Source>
  <b:Source>
    <b:Tag>Oen12</b:Tag>
    <b:SourceType>Book</b:SourceType>
    <b:Guid>{E187959F-BD4D-4D83-848E-DA11EABBD0AD}</b:Guid>
    <b:Author>
      <b:Author>
        <b:NameList>
          <b:Person>
            <b:Last>Deliyanti</b:Last>
            <b:First>Oentoro</b:First>
          </b:Person>
        </b:NameList>
      </b:Author>
    </b:Author>
    <b:Title>Manajemen Pemasaran Moder</b:Title>
    <b:Year>2012</b:Year>
    <b:City>Yokyakarta</b:City>
    <b:Publisher>Laksbang Pressindo</b:Publisher>
    <b:RefOrder>7</b:RefOrder>
  </b:Source>
  <b:Source>
    <b:Tag>Wij15</b:Tag>
    <b:SourceType>Book</b:SourceType>
    <b:Guid>{A641BF45-D4EC-4C21-9060-178CF8D3E31D}</b:Guid>
    <b:Author>
      <b:Author>
        <b:NameList>
          <b:Person>
            <b:Last>Suwarno</b:Last>
            <b:First>Wiji</b:First>
          </b:Person>
        </b:NameList>
      </b:Author>
    </b:Author>
    <b:Title>Dasar-dasar Ilmu Perpustakaan</b:Title>
    <b:Year>2015</b:Year>
    <b:City>Yokyakarta</b:City>
    <b:Publisher>Ar-Ruz Media</b:Publisher>
    <b:RefOrder>6</b:RefOrder>
  </b:Source>
  <b:Source>
    <b:Tag>Wah17</b:Tag>
    <b:SourceType>JournalArticle</b:SourceType>
    <b:Guid>{63C65C30-FFE4-4747-925C-9636F62283AB}</b:Guid>
    <b:Title>Evaluasi Sistem Temu Kembali Informasi KOHA di Perpustakaan Muhammadiyah Surakarta</b:Title>
    <b:Year>2017</b:Year>
    <b:City>Makassar</b:City>
    <b:Author>
      <b:Author>
        <b:NameList>
          <b:Person>
            <b:Last>Saufa</b:Last>
            <b:First>Arina</b:First>
            <b:Middle>Faila</b:Middle>
          </b:Person>
          <b:Person>
            <b:Last>Wahyu</b:Last>
            <b:First>Jamzanah</b:First>
          </b:Person>
        </b:NameList>
      </b:Author>
    </b:Author>
    <b:JournalName>Khizanah al-Hikmah : Jurnal Ilmu Perpustakaan, Informasi dan Kearsipan</b:JournalName>
    <b:URL>http://journal.uin-alauddin.ac.id/index.php/khizanah-al-hikmah/article/view/3044/3526</b:URL>
    <b:Publisher>Jurusan Ilmu Perpustakaan UIN Alauddin Makassar</b:Publisher>
    <b:YearAccessed>2017</b:YearAccessed>
    <b:MonthAccessed>Februari</b:MonthAccessed>
    <b:DayAccessed>26</b:DayAccessed>
    <b:Volume>5</b:Volume>
    <b:Issue>2</b:Issue>
    <b:DOI>10.24252/kah.v5i2a2</b:DOI>
    <b:RefOrder>1</b:RefOrder>
  </b:Source>
  <b:Source>
    <b:Tag>Nug17</b:Tag>
    <b:SourceType>JournalArticle</b:SourceType>
    <b:Guid>{0B02CC61-8620-4536-BE3A-22849D4F4072}</b:Guid>
    <b:Title>Kontruksi Makna Pegiat Perpustakaan Jalanan (Studi Feneomenologi tentang Konstruksi Makna Pegiat Perpustakaan Jalanan di Kota Bandung)</b:Title>
    <b:Year>2017</b:Year>
    <b:City>Makassar</b:City>
    <b:JournalName>Khizanah al-Hikmah : Jurnal Ilmu Perpustakaan, Informasi dan Kearsipan</b:JournalName>
    <b:Author>
      <b:Author>
        <b:NameList>
          <b:Person>
            <b:Last>Saputra</b:Last>
            <b:First>Nugraha</b:First>
            <b:Middle>Dwi</b:Middle>
          </b:Person>
          <b:Person>
            <b:Last>Damayani</b:Last>
            <b:First>Ninis</b:First>
            <b:Middle>Agustini</b:Middle>
          </b:Person>
          <b:Person>
            <b:Last>Rahman</b:Last>
            <b:First>Asep</b:First>
            <b:Middle>Saeful</b:Middle>
          </b:Person>
        </b:NameList>
      </b:Author>
    </b:Author>
    <b:URL>http://journal.uin-alauddin.ac.id/index.php/khizanah-al-hikmah/article/view/3424</b:URL>
    <b:Volume>5</b:Volume>
    <b:Issue>2</b:Issue>
    <b:YearAccessed>2017</b:YearAccessed>
    <b:MonthAccessed>Februari</b:MonthAccessed>
    <b:DayAccessed>26</b:DayAccessed>
    <b:RefOrder>5</b:RefOrder>
  </b:Source>
  <b:Source>
    <b:Tag>PAn17</b:Tag>
    <b:SourceType>JournalArticle</b:SourceType>
    <b:Guid>{CB63FF2F-1E82-45EC-878D-A03981993B24}</b:Guid>
    <b:Author>
      <b:Author>
        <b:NameList>
          <b:Person>
            <b:Last>Gita</b:Last>
            <b:First>Anindya</b:First>
          </b:Person>
        </b:NameList>
      </b:Author>
    </b:Author>
    <b:Title>Peran Data dalam Manajemen Perpustakaan di Indonesia</b:Title>
    <b:JournalName>Khizanah al-Hikmah : Jurnal Ilmu Perpustakaan, Informasi dan Kearsipan</b:JournalName>
    <b:Year>2017</b:Year>
    <b:City>Makassar</b:City>
    <b:Publisher>Jurusan Ilmu Perpustakaan UIN Alauddin Makassar</b:Publisher>
    <b:Volume>5</b:Volume>
    <b:Issue>2</b:Issue>
    <b:YearAccessed>2017</b:YearAccessed>
    <b:MonthAccessed>Februari</b:MonthAccessed>
    <b:DayAccessed>26</b:DayAccessed>
    <b:URL>http://journal.uin-alauddin.ac.id/index.php/khizanah-al-hikmah/article/view/3441</b:URL>
    <b:RefOrder>8</b:RefOrder>
  </b:Source>
</b:Sources>
</file>

<file path=customXml/itemProps1.xml><?xml version="1.0" encoding="utf-8"?>
<ds:datastoreItem xmlns:ds="http://schemas.openxmlformats.org/officeDocument/2006/customXml" ds:itemID="{F2A500E7-BF16-46CF-942F-91A41E066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7608</Words>
  <Characters>43367</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50874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USMAN JAFAR</dc:creator>
  <cp:lastModifiedBy>ASUS</cp:lastModifiedBy>
  <cp:revision>2</cp:revision>
  <cp:lastPrinted>2018-05-26T06:36:00Z</cp:lastPrinted>
  <dcterms:created xsi:type="dcterms:W3CDTF">2019-04-14T17:28:00Z</dcterms:created>
  <dcterms:modified xsi:type="dcterms:W3CDTF">2019-04-14T17:28:00Z</dcterms:modified>
</cp:coreProperties>
</file>