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59" w:rsidRPr="002F05A9" w:rsidRDefault="00552C9A" w:rsidP="00CF4BEB">
      <w:pPr>
        <w:tabs>
          <w:tab w:val="left" w:pos="993"/>
        </w:tabs>
        <w:spacing w:after="0"/>
        <w:jc w:val="right"/>
        <w:rPr>
          <w:rFonts w:ascii="Book Antiqua" w:hAnsi="Book Antiqua" w:cs="Times New Roman"/>
          <w:b/>
          <w:sz w:val="40"/>
          <w:szCs w:val="40"/>
          <w:lang w:val="en-US"/>
        </w:rPr>
      </w:pPr>
      <w:r w:rsidRPr="002F05A9">
        <w:rPr>
          <w:rFonts w:ascii="Book Antiqua" w:hAnsi="Book Antiqua" w:cs="Times New Roman"/>
          <w:b/>
          <w:sz w:val="40"/>
          <w:szCs w:val="40"/>
          <w:lang w:val="en-US"/>
        </w:rPr>
        <w:t>KONDISI SOSIAL-PILITIK</w:t>
      </w:r>
      <w:r w:rsidR="00F43A59" w:rsidRPr="002F05A9">
        <w:rPr>
          <w:rFonts w:ascii="Book Antiqua" w:hAnsi="Book Antiqua" w:cs="Times New Roman"/>
          <w:b/>
          <w:sz w:val="40"/>
          <w:szCs w:val="40"/>
        </w:rPr>
        <w:t xml:space="preserve"> PASCA PERJANJIAN BONGAYA 1667</w:t>
      </w:r>
    </w:p>
    <w:p w:rsidR="00F43A59" w:rsidRPr="00AF2B0A" w:rsidRDefault="00F43A59" w:rsidP="00CF4BEB">
      <w:pPr>
        <w:spacing w:after="0"/>
        <w:ind w:firstLine="720"/>
        <w:jc w:val="right"/>
        <w:rPr>
          <w:rFonts w:ascii="Book Antiqua" w:hAnsi="Book Antiqua" w:cs="Times New Roman"/>
          <w:sz w:val="24"/>
          <w:szCs w:val="24"/>
          <w:lang w:val="en-US"/>
        </w:rPr>
      </w:pPr>
      <w:r w:rsidRPr="00AF2B0A">
        <w:rPr>
          <w:rFonts w:ascii="Book Antiqua" w:hAnsi="Book Antiqua" w:cs="Times New Roman"/>
          <w:sz w:val="24"/>
          <w:szCs w:val="24"/>
          <w:lang w:val="en-US"/>
        </w:rPr>
        <w:t>Oleh: Muhammad Arif</w:t>
      </w:r>
      <w:r w:rsidRPr="00AF2B0A">
        <w:rPr>
          <w:rFonts w:ascii="Book Antiqua" w:hAnsi="Book Antiqua" w:cs="Times New Roman"/>
          <w:sz w:val="24"/>
          <w:szCs w:val="24"/>
          <w:vertAlign w:val="superscript"/>
          <w:lang w:val="en-US"/>
        </w:rPr>
        <w:t>1</w:t>
      </w:r>
      <w:r w:rsidRPr="00AF2B0A">
        <w:rPr>
          <w:rFonts w:ascii="Book Antiqua" w:hAnsi="Book Antiqua" w:cs="Times New Roman"/>
          <w:sz w:val="24"/>
          <w:szCs w:val="24"/>
          <w:lang w:val="en-US"/>
        </w:rPr>
        <w:t xml:space="preserve">, </w:t>
      </w:r>
      <w:r w:rsidR="00F962D0" w:rsidRPr="00AF2B0A">
        <w:rPr>
          <w:rFonts w:ascii="Book Antiqua" w:hAnsi="Book Antiqua" w:cs="Times New Roman"/>
          <w:sz w:val="24"/>
          <w:szCs w:val="24"/>
          <w:lang w:val="en-US"/>
        </w:rPr>
        <w:t>Chaerul Mundzir</w:t>
      </w:r>
      <w:r w:rsidR="00F962D0" w:rsidRPr="00AF2B0A">
        <w:rPr>
          <w:rFonts w:ascii="Book Antiqua" w:hAnsi="Book Antiqua" w:cs="Times New Roman"/>
          <w:sz w:val="24"/>
          <w:szCs w:val="24"/>
          <w:vertAlign w:val="superscript"/>
          <w:lang w:val="en-US"/>
        </w:rPr>
        <w:t>2</w:t>
      </w:r>
      <w:r w:rsidR="00F962D0" w:rsidRPr="00AF2B0A">
        <w:rPr>
          <w:rFonts w:ascii="Book Antiqua" w:hAnsi="Book Antiqua" w:cs="Times New Roman"/>
          <w:sz w:val="24"/>
          <w:szCs w:val="24"/>
          <w:lang w:val="en-US"/>
        </w:rPr>
        <w:t xml:space="preserve">, </w:t>
      </w:r>
      <w:r w:rsidRPr="00AF2B0A">
        <w:rPr>
          <w:rFonts w:ascii="Book Antiqua" w:hAnsi="Book Antiqua" w:cs="Times New Roman"/>
          <w:sz w:val="24"/>
          <w:szCs w:val="24"/>
        </w:rPr>
        <w:t>Is Hamdan Ramadhani</w:t>
      </w:r>
      <w:r w:rsidR="00F962D0" w:rsidRPr="00AF2B0A">
        <w:rPr>
          <w:rFonts w:ascii="Book Antiqua" w:hAnsi="Book Antiqua" w:cs="Times New Roman"/>
          <w:sz w:val="24"/>
          <w:szCs w:val="24"/>
          <w:vertAlign w:val="superscript"/>
          <w:lang w:val="en-US"/>
        </w:rPr>
        <w:t>3</w:t>
      </w:r>
      <w:r w:rsidRPr="00AF2B0A">
        <w:rPr>
          <w:rFonts w:ascii="Book Antiqua" w:hAnsi="Book Antiqua" w:cs="Times New Roman"/>
          <w:sz w:val="24"/>
          <w:szCs w:val="24"/>
          <w:lang w:val="en-US"/>
        </w:rPr>
        <w:t>,</w:t>
      </w:r>
    </w:p>
    <w:p w:rsidR="00F43A59" w:rsidRPr="00552C9A" w:rsidRDefault="00F43A59" w:rsidP="00CF4BEB">
      <w:pPr>
        <w:spacing w:after="0"/>
        <w:ind w:firstLine="720"/>
        <w:jc w:val="right"/>
        <w:rPr>
          <w:rFonts w:ascii="Book Antiqua" w:hAnsi="Book Antiqua" w:cs="Times New Roman"/>
          <w:i/>
          <w:sz w:val="24"/>
          <w:szCs w:val="24"/>
          <w:lang w:val="en-US"/>
        </w:rPr>
      </w:pPr>
      <w:r w:rsidRPr="00552C9A">
        <w:rPr>
          <w:rFonts w:ascii="Book Antiqua" w:hAnsi="Book Antiqua" w:cs="Times New Roman"/>
          <w:i/>
          <w:color w:val="548DD4" w:themeColor="text2" w:themeTint="99"/>
          <w:sz w:val="24"/>
          <w:szCs w:val="24"/>
          <w:lang w:val="en-US"/>
        </w:rPr>
        <w:t xml:space="preserve"> </w:t>
      </w:r>
      <w:hyperlink r:id="rId9" w:history="1">
        <w:r w:rsidR="00F962D0" w:rsidRPr="00552C9A">
          <w:rPr>
            <w:rStyle w:val="Hyperlink"/>
            <w:rFonts w:ascii="Book Antiqua" w:hAnsi="Book Antiqua" w:cs="Times New Roman"/>
            <w:i/>
            <w:sz w:val="24"/>
            <w:szCs w:val="24"/>
            <w:vertAlign w:val="superscript"/>
            <w:lang w:val="en-US"/>
          </w:rPr>
          <w:t>1</w:t>
        </w:r>
        <w:r w:rsidR="00F962D0" w:rsidRPr="00552C9A">
          <w:rPr>
            <w:rStyle w:val="Hyperlink"/>
            <w:rFonts w:ascii="Book Antiqua" w:hAnsi="Book Antiqua" w:cs="Times New Roman"/>
            <w:i/>
            <w:sz w:val="24"/>
            <w:szCs w:val="24"/>
            <w:lang w:val="en-US"/>
          </w:rPr>
          <w:t>muhammad.arif@uin-alauddin.ac.id</w:t>
        </w:r>
      </w:hyperlink>
      <w:r w:rsidR="00F962D0" w:rsidRPr="00552C9A">
        <w:rPr>
          <w:rFonts w:ascii="Book Antiqua" w:hAnsi="Book Antiqua" w:cs="Times New Roman"/>
          <w:i/>
          <w:sz w:val="24"/>
          <w:szCs w:val="24"/>
          <w:lang w:val="en-US"/>
        </w:rPr>
        <w:t xml:space="preserve"> </w:t>
      </w:r>
    </w:p>
    <w:p w:rsidR="00F962D0" w:rsidRPr="00552C9A" w:rsidRDefault="00E51006" w:rsidP="00CF4BEB">
      <w:pPr>
        <w:spacing w:after="0"/>
        <w:ind w:firstLine="720"/>
        <w:jc w:val="right"/>
        <w:rPr>
          <w:rFonts w:ascii="Book Antiqua" w:hAnsi="Book Antiqua" w:cs="Times New Roman"/>
          <w:i/>
          <w:sz w:val="24"/>
          <w:szCs w:val="24"/>
          <w:lang w:val="en-US"/>
        </w:rPr>
      </w:pPr>
      <w:hyperlink r:id="rId10" w:history="1">
        <w:r w:rsidR="00F962D0" w:rsidRPr="00552C9A">
          <w:rPr>
            <w:rStyle w:val="Hyperlink"/>
            <w:rFonts w:ascii="Book Antiqua" w:hAnsi="Book Antiqua" w:cs="Times New Roman"/>
            <w:i/>
            <w:sz w:val="24"/>
            <w:szCs w:val="24"/>
            <w:vertAlign w:val="superscript"/>
            <w:lang w:val="en-US"/>
          </w:rPr>
          <w:t>2</w:t>
        </w:r>
        <w:r w:rsidR="00F962D0" w:rsidRPr="00552C9A">
          <w:rPr>
            <w:rStyle w:val="Hyperlink"/>
            <w:rFonts w:ascii="Book Antiqua" w:hAnsi="Book Antiqua" w:cs="Times New Roman"/>
            <w:i/>
            <w:sz w:val="24"/>
            <w:szCs w:val="24"/>
            <w:lang w:val="en-US"/>
          </w:rPr>
          <w:t>chaerul.mundzir@uin-alauddin.ac.id</w:t>
        </w:r>
      </w:hyperlink>
      <w:r w:rsidR="00F962D0" w:rsidRPr="00552C9A">
        <w:rPr>
          <w:rFonts w:ascii="Book Antiqua" w:hAnsi="Book Antiqua" w:cs="Times New Roman"/>
          <w:i/>
          <w:sz w:val="24"/>
          <w:szCs w:val="24"/>
          <w:lang w:val="en-US"/>
        </w:rPr>
        <w:t xml:space="preserve"> </w:t>
      </w:r>
    </w:p>
    <w:p w:rsidR="00552C9A" w:rsidRPr="00552C9A" w:rsidRDefault="00E51006" w:rsidP="00CF4BEB">
      <w:pPr>
        <w:tabs>
          <w:tab w:val="left" w:pos="993"/>
        </w:tabs>
        <w:spacing w:after="0"/>
        <w:jc w:val="right"/>
        <w:rPr>
          <w:rFonts w:ascii="Book Antiqua" w:hAnsi="Book Antiqua"/>
          <w:color w:val="000000"/>
          <w:sz w:val="24"/>
          <w:szCs w:val="24"/>
          <w:shd w:val="clear" w:color="auto" w:fill="FFFFFF"/>
          <w:lang w:val="en-US"/>
        </w:rPr>
      </w:pPr>
      <w:hyperlink r:id="rId11" w:history="1">
        <w:r w:rsidR="00552C9A" w:rsidRPr="00552C9A">
          <w:rPr>
            <w:rStyle w:val="Hyperlink"/>
            <w:rFonts w:ascii="Book Antiqua" w:hAnsi="Book Antiqua"/>
            <w:i/>
            <w:sz w:val="24"/>
            <w:szCs w:val="24"/>
            <w:shd w:val="clear" w:color="auto" w:fill="FFFFFF"/>
            <w:vertAlign w:val="superscript"/>
            <w:lang w:val="en-US"/>
          </w:rPr>
          <w:t>3</w:t>
        </w:r>
        <w:r w:rsidR="00552C9A" w:rsidRPr="00552C9A">
          <w:rPr>
            <w:rStyle w:val="Hyperlink"/>
            <w:rFonts w:ascii="Book Antiqua" w:hAnsi="Book Antiqua"/>
            <w:i/>
            <w:sz w:val="24"/>
            <w:szCs w:val="24"/>
            <w:shd w:val="clear" w:color="auto" w:fill="FFFFFF"/>
          </w:rPr>
          <w:t>Hamdanramadhani62@gmail.com</w:t>
        </w:r>
      </w:hyperlink>
      <w:r w:rsidR="00552C9A" w:rsidRPr="00552C9A">
        <w:rPr>
          <w:rFonts w:ascii="Book Antiqua" w:hAnsi="Book Antiqua"/>
          <w:color w:val="000000"/>
          <w:sz w:val="24"/>
          <w:szCs w:val="24"/>
          <w:shd w:val="clear" w:color="auto" w:fill="FFFFFF"/>
          <w:lang w:val="en-US"/>
        </w:rPr>
        <w:t xml:space="preserve"> </w:t>
      </w:r>
    </w:p>
    <w:p w:rsidR="00F43A59" w:rsidRPr="00AF2B0A" w:rsidRDefault="00F43A59" w:rsidP="00CF4BEB">
      <w:pPr>
        <w:tabs>
          <w:tab w:val="left" w:pos="993"/>
        </w:tabs>
        <w:spacing w:after="0"/>
        <w:jc w:val="right"/>
        <w:rPr>
          <w:rFonts w:ascii="Book Antiqua" w:hAnsi="Book Antiqua" w:cs="Times New Roman"/>
          <w:i/>
          <w:sz w:val="24"/>
          <w:szCs w:val="24"/>
          <w:lang w:val="en-US"/>
        </w:rPr>
      </w:pPr>
      <w:r w:rsidRPr="00AF2B0A">
        <w:rPr>
          <w:rFonts w:ascii="Book Antiqua" w:hAnsi="Book Antiqua" w:cs="Times New Roman"/>
          <w:i/>
          <w:sz w:val="24"/>
          <w:szCs w:val="24"/>
          <w:lang w:val="en-US"/>
        </w:rPr>
        <w:t>Fakultas Adab dan Humaniora UIN Alauddin Maakassar</w:t>
      </w:r>
    </w:p>
    <w:p w:rsidR="00F962D0" w:rsidRPr="00AF2B0A" w:rsidRDefault="00F962D0" w:rsidP="00CF4BEB">
      <w:pPr>
        <w:tabs>
          <w:tab w:val="left" w:pos="993"/>
        </w:tabs>
        <w:spacing w:after="0"/>
        <w:jc w:val="right"/>
        <w:rPr>
          <w:rFonts w:ascii="Book Antiqua" w:hAnsi="Book Antiqua" w:cs="Times New Roman"/>
          <w:i/>
          <w:sz w:val="24"/>
          <w:szCs w:val="24"/>
          <w:lang w:val="en-US"/>
        </w:rPr>
      </w:pPr>
    </w:p>
    <w:p w:rsidR="002F05A9" w:rsidRPr="002F05A9" w:rsidRDefault="002F05A9" w:rsidP="002F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heme="majorBidi"/>
          <w:b/>
          <w:i/>
          <w:color w:val="202124"/>
          <w:sz w:val="24"/>
          <w:szCs w:val="24"/>
          <w:lang w:val="en-US"/>
        </w:rPr>
      </w:pPr>
      <w:r w:rsidRPr="002F05A9">
        <w:rPr>
          <w:rFonts w:ascii="Book Antiqua" w:eastAsia="Times New Roman" w:hAnsi="Book Antiqua" w:cstheme="majorBidi"/>
          <w:b/>
          <w:i/>
          <w:color w:val="202124"/>
          <w:sz w:val="24"/>
          <w:szCs w:val="24"/>
          <w:lang w:val="en-US"/>
        </w:rPr>
        <w:t>Abstrak</w:t>
      </w:r>
    </w:p>
    <w:p w:rsidR="00F05B46" w:rsidRDefault="00F05B46" w:rsidP="00F05B4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sz w:val="24"/>
          <w:szCs w:val="24"/>
          <w:lang w:val="en-US"/>
        </w:rPr>
      </w:pPr>
      <w:r>
        <w:rPr>
          <w:rFonts w:ascii="Book Antiqua" w:eastAsia="Times New Roman" w:hAnsi="Book Antiqua" w:cstheme="majorBidi"/>
          <w:color w:val="202124"/>
          <w:sz w:val="24"/>
          <w:szCs w:val="24"/>
          <w:lang w:val="en-US"/>
        </w:rPr>
        <w:tab/>
      </w:r>
      <w:r w:rsidR="002F05A9" w:rsidRPr="00ED476B">
        <w:rPr>
          <w:rFonts w:ascii="Book Antiqua" w:eastAsia="Times New Roman" w:hAnsi="Book Antiqua" w:cstheme="majorBidi"/>
          <w:color w:val="202124"/>
          <w:sz w:val="24"/>
          <w:szCs w:val="24"/>
          <w:lang w:val="en-US"/>
        </w:rPr>
        <w:t>Artikel</w:t>
      </w:r>
      <w:r w:rsidR="002F05A9" w:rsidRPr="00ED476B">
        <w:rPr>
          <w:rFonts w:ascii="Book Antiqua" w:eastAsia="Times New Roman" w:hAnsi="Book Antiqua" w:cstheme="majorBidi"/>
          <w:color w:val="202124"/>
          <w:sz w:val="24"/>
          <w:szCs w:val="24"/>
        </w:rPr>
        <w:t xml:space="preserve"> ini bertujuan untuk</w:t>
      </w:r>
      <w:r w:rsidR="002F05A9" w:rsidRPr="00ED476B">
        <w:rPr>
          <w:rFonts w:ascii="Book Antiqua" w:eastAsia="Times New Roman" w:hAnsi="Book Antiqua" w:cstheme="majorBidi"/>
          <w:color w:val="202124"/>
          <w:sz w:val="24"/>
          <w:szCs w:val="24"/>
          <w:lang w:val="en-US"/>
        </w:rPr>
        <w:t xml:space="preserve"> m</w:t>
      </w:r>
      <w:r w:rsidR="002F05A9" w:rsidRPr="00ED476B">
        <w:rPr>
          <w:rFonts w:ascii="Book Antiqua" w:eastAsia="Times New Roman" w:hAnsi="Book Antiqua" w:cstheme="majorBidi"/>
          <w:color w:val="202124"/>
          <w:sz w:val="24"/>
          <w:szCs w:val="24"/>
        </w:rPr>
        <w:t xml:space="preserve">endeskripsikan kondisi </w:t>
      </w:r>
      <w:r w:rsidR="00505F4C">
        <w:rPr>
          <w:rFonts w:ascii="Book Antiqua" w:eastAsia="Times New Roman" w:hAnsi="Book Antiqua" w:cstheme="majorBidi"/>
          <w:color w:val="202124"/>
          <w:sz w:val="24"/>
          <w:szCs w:val="24"/>
          <w:lang w:val="en-US"/>
        </w:rPr>
        <w:t>sosial-politik</w:t>
      </w:r>
      <w:r w:rsidR="002F05A9" w:rsidRPr="00ED476B">
        <w:rPr>
          <w:rFonts w:ascii="Book Antiqua" w:eastAsia="Times New Roman" w:hAnsi="Book Antiqua" w:cstheme="majorBidi"/>
          <w:color w:val="202124"/>
          <w:sz w:val="24"/>
          <w:szCs w:val="24"/>
        </w:rPr>
        <w:t xml:space="preserve"> pasca perjanjian Bongaya tahun 1667</w:t>
      </w:r>
      <w:r w:rsidR="002F05A9" w:rsidRPr="00ED476B">
        <w:rPr>
          <w:rFonts w:ascii="Book Antiqua" w:eastAsia="Times New Roman" w:hAnsi="Book Antiqua" w:cstheme="majorBidi"/>
          <w:color w:val="202124"/>
          <w:sz w:val="24"/>
          <w:szCs w:val="24"/>
          <w:lang w:val="en-US"/>
        </w:rPr>
        <w:t xml:space="preserve">. </w:t>
      </w:r>
      <w:r w:rsidR="002F05A9" w:rsidRPr="00ED476B">
        <w:rPr>
          <w:rStyle w:val="y2iqfc"/>
          <w:rFonts w:ascii="Book Antiqua" w:hAnsi="Book Antiqua" w:cstheme="majorBidi"/>
          <w:color w:val="202124"/>
          <w:sz w:val="24"/>
          <w:szCs w:val="24"/>
        </w:rPr>
        <w:t>Jenis penelitian ini adalah metode penelitian sejarah (Library research)</w:t>
      </w:r>
      <w:r w:rsidR="002F05A9" w:rsidRPr="00ED476B">
        <w:rPr>
          <w:rStyle w:val="y2iqfc"/>
          <w:rFonts w:ascii="Book Antiqua" w:hAnsi="Book Antiqua" w:cstheme="majorBidi"/>
          <w:color w:val="202124"/>
          <w:sz w:val="24"/>
          <w:szCs w:val="24"/>
          <w:lang w:val="en-US"/>
        </w:rPr>
        <w:t>.</w:t>
      </w:r>
      <w:r w:rsidR="002F05A9" w:rsidRPr="00ED476B">
        <w:rPr>
          <w:rStyle w:val="y2iqfc"/>
          <w:rFonts w:ascii="Book Antiqua" w:hAnsi="Book Antiqua" w:cstheme="majorBidi"/>
          <w:color w:val="202124"/>
          <w:sz w:val="24"/>
          <w:szCs w:val="24"/>
        </w:rPr>
        <w:t xml:space="preserve"> </w:t>
      </w:r>
      <w:r w:rsidR="002F05A9" w:rsidRPr="00ED476B">
        <w:rPr>
          <w:rStyle w:val="y2iqfc"/>
          <w:rFonts w:ascii="Book Antiqua" w:hAnsi="Book Antiqua" w:cstheme="majorBidi"/>
          <w:color w:val="202124"/>
          <w:sz w:val="24"/>
          <w:szCs w:val="24"/>
          <w:lang w:val="en-US"/>
        </w:rPr>
        <w:t>P</w:t>
      </w:r>
      <w:r w:rsidR="002F05A9" w:rsidRPr="00ED476B">
        <w:rPr>
          <w:rStyle w:val="y2iqfc"/>
          <w:rFonts w:ascii="Book Antiqua" w:hAnsi="Book Antiqua" w:cstheme="majorBidi"/>
          <w:color w:val="202124"/>
          <w:sz w:val="24"/>
          <w:szCs w:val="24"/>
        </w:rPr>
        <w:t>enulis menggunakan beberapa pendekatan</w:t>
      </w:r>
      <w:r w:rsidR="002F05A9" w:rsidRPr="00ED476B">
        <w:rPr>
          <w:rStyle w:val="y2iqfc"/>
          <w:rFonts w:ascii="Book Antiqua" w:hAnsi="Book Antiqua" w:cstheme="majorBidi"/>
          <w:color w:val="202124"/>
          <w:sz w:val="24"/>
          <w:szCs w:val="24"/>
          <w:lang w:val="en-US"/>
        </w:rPr>
        <w:t xml:space="preserve"> y</w:t>
      </w:r>
      <w:r w:rsidR="002F05A9" w:rsidRPr="00ED476B">
        <w:rPr>
          <w:rStyle w:val="y2iqfc"/>
          <w:rFonts w:ascii="Book Antiqua" w:hAnsi="Book Antiqua" w:cstheme="majorBidi"/>
          <w:color w:val="202124"/>
          <w:sz w:val="24"/>
          <w:szCs w:val="24"/>
        </w:rPr>
        <w:t>aitu pendekatan historis, pendekatan religi, pendekatan antropologis. dan pendekatan sosiologis</w:t>
      </w:r>
      <w:r w:rsidR="002F05A9">
        <w:rPr>
          <w:rStyle w:val="y2iqfc"/>
          <w:rFonts w:ascii="Book Antiqua" w:hAnsi="Book Antiqua" w:cstheme="majorBidi"/>
          <w:color w:val="202124"/>
          <w:sz w:val="24"/>
          <w:szCs w:val="24"/>
          <w:lang w:val="en-US"/>
        </w:rPr>
        <w:t xml:space="preserve">. </w:t>
      </w:r>
      <w:r w:rsidR="002F05A9" w:rsidRPr="00ED476B">
        <w:rPr>
          <w:rStyle w:val="y2iqfc"/>
          <w:rFonts w:ascii="Book Antiqua" w:hAnsi="Book Antiqua" w:cstheme="majorBidi"/>
          <w:color w:val="202124"/>
          <w:sz w:val="24"/>
          <w:szCs w:val="24"/>
        </w:rPr>
        <w:t>Perang Makassar sebagai momentum perubahan dari segala aspek, tidak hanya perubahan dari aspek politik tetapi juga aspek sosial, budaya dan ekonomi</w:t>
      </w:r>
      <w:r w:rsidR="002F05A9" w:rsidRPr="00ED476B">
        <w:rPr>
          <w:rStyle w:val="y2iqfc"/>
          <w:rFonts w:ascii="Book Antiqua" w:hAnsi="Book Antiqua" w:cstheme="majorBidi"/>
          <w:color w:val="202124"/>
          <w:sz w:val="24"/>
          <w:szCs w:val="24"/>
          <w:lang w:val="en-US"/>
        </w:rPr>
        <w:t xml:space="preserve"> yang sangat menyiksa </w:t>
      </w:r>
      <w:r w:rsidR="002F05A9">
        <w:rPr>
          <w:rStyle w:val="y2iqfc"/>
          <w:rFonts w:ascii="Book Antiqua" w:hAnsi="Book Antiqua" w:cstheme="majorBidi"/>
          <w:color w:val="202124"/>
          <w:sz w:val="24"/>
          <w:szCs w:val="24"/>
          <w:lang w:val="en-US"/>
        </w:rPr>
        <w:t>rakyat</w:t>
      </w:r>
      <w:r w:rsidR="002F05A9" w:rsidRPr="00ED476B">
        <w:rPr>
          <w:rStyle w:val="y2iqfc"/>
          <w:rFonts w:ascii="Book Antiqua" w:hAnsi="Book Antiqua" w:cstheme="majorBidi"/>
          <w:color w:val="202124"/>
          <w:sz w:val="24"/>
          <w:szCs w:val="24"/>
          <w:lang w:val="en-US"/>
        </w:rPr>
        <w:t xml:space="preserve"> Gowa. </w:t>
      </w:r>
      <w:r w:rsidR="002F05A9">
        <w:rPr>
          <w:rStyle w:val="y2iqfc"/>
          <w:rFonts w:ascii="Book Antiqua" w:hAnsi="Book Antiqua" w:cstheme="majorBidi"/>
          <w:color w:val="202124"/>
          <w:sz w:val="24"/>
          <w:szCs w:val="24"/>
          <w:lang w:val="en-US"/>
        </w:rPr>
        <w:t>S</w:t>
      </w:r>
      <w:r w:rsidR="002F05A9" w:rsidRPr="00ED476B">
        <w:rPr>
          <w:rFonts w:ascii="Book Antiqua" w:hAnsi="Book Antiqua"/>
          <w:sz w:val="24"/>
          <w:szCs w:val="24"/>
        </w:rPr>
        <w:t xml:space="preserve">ebagai seorang Raja, Sultan Hasanudin bertanggung jawab atas nasib rakyat Kerajaan Gowa yang semakin hari semakin menyedihkan, Sultan Hasanudin harus mempertimbangkan hal ini meski ingin terus berjuang. Sultan Hasanudin sangat memahami penderitaan rakyat Kerajaan Gowa. </w:t>
      </w:r>
    </w:p>
    <w:p w:rsidR="002F05A9" w:rsidRPr="00830912" w:rsidRDefault="002F05A9" w:rsidP="00F05B4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Book Antiqua" w:hAnsi="Book Antiqua" w:cstheme="majorBidi"/>
          <w:color w:val="202124"/>
          <w:sz w:val="24"/>
          <w:szCs w:val="24"/>
          <w:lang w:val="en-US"/>
        </w:rPr>
      </w:pPr>
      <w:r w:rsidRPr="00ED476B">
        <w:rPr>
          <w:rFonts w:ascii="Book Antiqua" w:hAnsi="Book Antiqua"/>
          <w:sz w:val="24"/>
          <w:szCs w:val="24"/>
          <w:lang w:val="en-US"/>
        </w:rPr>
        <w:t>Karena pertimbangan tersebut, sehingga p</w:t>
      </w:r>
      <w:r w:rsidRPr="00ED476B">
        <w:rPr>
          <w:rStyle w:val="y2iqfc"/>
          <w:rFonts w:ascii="Book Antiqua" w:hAnsi="Book Antiqua" w:cstheme="majorBidi"/>
          <w:color w:val="202124"/>
          <w:sz w:val="24"/>
          <w:szCs w:val="24"/>
        </w:rPr>
        <w:t xml:space="preserve">erang </w:t>
      </w:r>
      <w:r w:rsidRPr="00ED476B">
        <w:rPr>
          <w:rStyle w:val="y2iqfc"/>
          <w:rFonts w:ascii="Book Antiqua" w:hAnsi="Book Antiqua" w:cstheme="majorBidi"/>
          <w:color w:val="202124"/>
          <w:sz w:val="24"/>
          <w:szCs w:val="24"/>
          <w:lang w:val="en-US"/>
        </w:rPr>
        <w:t xml:space="preserve">yang </w:t>
      </w:r>
      <w:r w:rsidRPr="00ED476B">
        <w:rPr>
          <w:rStyle w:val="y2iqfc"/>
          <w:rFonts w:ascii="Book Antiqua" w:hAnsi="Book Antiqua" w:cstheme="majorBidi"/>
          <w:color w:val="202124"/>
          <w:sz w:val="24"/>
          <w:szCs w:val="24"/>
        </w:rPr>
        <w:t>berlangsung kurang lebih empat tahun, dimulai dari tahun 1666-1669</w:t>
      </w:r>
      <w:r w:rsidRPr="00ED476B">
        <w:rPr>
          <w:rStyle w:val="y2iqfc"/>
          <w:rFonts w:ascii="Book Antiqua" w:hAnsi="Book Antiqua" w:cstheme="majorBidi"/>
          <w:color w:val="202124"/>
          <w:sz w:val="24"/>
          <w:szCs w:val="24"/>
          <w:lang w:val="en-US"/>
        </w:rPr>
        <w:t xml:space="preserve"> </w:t>
      </w:r>
      <w:r w:rsidRPr="00ED476B">
        <w:rPr>
          <w:rStyle w:val="y2iqfc"/>
          <w:rFonts w:ascii="Book Antiqua" w:hAnsi="Book Antiqua" w:cstheme="majorBidi"/>
          <w:color w:val="202124"/>
          <w:sz w:val="24"/>
          <w:szCs w:val="24"/>
        </w:rPr>
        <w:t xml:space="preserve"> kemudian diakhiri dengan Perjanjian Bungaya, yang terdiri dari 30 butir pasal-pasal perjanjian. Dimana perjanjian tersebut mempengaruhi segala aspek kehidupan masyarakat gowa, tidak hanya dari segi aspek politik,tetapi juga eksistensi umat islam. Sejak saat itu kekuasaan dan pengaruh Belanda di Indonesia Timur mulai tertanam ke arah kolonialisme yang serius. Sultan Hasanuddin yang gagah berani membela negaranya sampai detik terakhir, telah menguasai kerajaan Gowa selama 16 tahun lamanya, 1653-1669 dan meninggal di Gowa pada 12 Juni 1670. </w:t>
      </w:r>
    </w:p>
    <w:p w:rsidR="002F05A9" w:rsidRDefault="002F05A9" w:rsidP="002F05A9">
      <w:pPr>
        <w:ind w:right="4"/>
        <w:jc w:val="both"/>
        <w:rPr>
          <w:rFonts w:ascii="Book Antiqua" w:hAnsi="Book Antiqua"/>
          <w:b/>
          <w:i/>
          <w:noProof/>
          <w:sz w:val="24"/>
          <w:szCs w:val="24"/>
          <w:lang w:val="en-ID"/>
        </w:rPr>
      </w:pPr>
      <w:r w:rsidRPr="000C0CFD">
        <w:rPr>
          <w:rFonts w:ascii="Book Antiqua" w:hAnsi="Book Antiqua"/>
          <w:b/>
          <w:i/>
          <w:noProof/>
          <w:sz w:val="24"/>
          <w:szCs w:val="24"/>
          <w:lang w:val="en-ID"/>
        </w:rPr>
        <w:t>K</w:t>
      </w:r>
      <w:r>
        <w:rPr>
          <w:rFonts w:ascii="Book Antiqua" w:hAnsi="Book Antiqua"/>
          <w:b/>
          <w:i/>
          <w:noProof/>
          <w:sz w:val="24"/>
          <w:szCs w:val="24"/>
          <w:lang w:val="en-ID"/>
        </w:rPr>
        <w:t>atakunci</w:t>
      </w:r>
      <w:r w:rsidRPr="000C0CFD">
        <w:rPr>
          <w:rFonts w:ascii="Book Antiqua" w:hAnsi="Book Antiqua"/>
          <w:b/>
          <w:i/>
          <w:noProof/>
          <w:sz w:val="24"/>
          <w:szCs w:val="24"/>
          <w:lang w:val="en-ID"/>
        </w:rPr>
        <w:t xml:space="preserve">: </w:t>
      </w:r>
      <w:r>
        <w:rPr>
          <w:rFonts w:ascii="Book Antiqua" w:hAnsi="Book Antiqua"/>
          <w:b/>
          <w:i/>
          <w:noProof/>
          <w:sz w:val="24"/>
          <w:szCs w:val="24"/>
          <w:lang w:val="en-ID"/>
        </w:rPr>
        <w:t>Sosial-Politik</w:t>
      </w:r>
      <w:r w:rsidRPr="000C0CFD">
        <w:rPr>
          <w:rFonts w:ascii="Book Antiqua" w:hAnsi="Book Antiqua"/>
          <w:b/>
          <w:i/>
          <w:noProof/>
          <w:sz w:val="24"/>
          <w:szCs w:val="24"/>
          <w:lang w:val="en-ID"/>
        </w:rPr>
        <w:t xml:space="preserve">; </w:t>
      </w:r>
      <w:r>
        <w:rPr>
          <w:rFonts w:ascii="Book Antiqua" w:hAnsi="Book Antiqua"/>
          <w:b/>
          <w:i/>
          <w:noProof/>
          <w:sz w:val="24"/>
          <w:szCs w:val="24"/>
          <w:lang w:val="en-ID"/>
        </w:rPr>
        <w:t>Perjanjian Bungaya; VOC</w:t>
      </w:r>
    </w:p>
    <w:p w:rsidR="002F05A9" w:rsidRPr="00830912" w:rsidRDefault="002F05A9" w:rsidP="00F05B46">
      <w:pPr>
        <w:spacing w:after="0"/>
        <w:ind w:right="4"/>
        <w:jc w:val="both"/>
        <w:rPr>
          <w:rFonts w:ascii="Book Antiqua" w:hAnsi="Book Antiqua"/>
          <w:b/>
          <w:i/>
          <w:noProof/>
          <w:sz w:val="24"/>
          <w:szCs w:val="24"/>
          <w:lang w:val="en-ID"/>
        </w:rPr>
      </w:pPr>
      <w:r>
        <w:rPr>
          <w:rFonts w:ascii="Book Antiqua" w:hAnsi="Book Antiqua"/>
          <w:b/>
          <w:i/>
          <w:noProof/>
          <w:sz w:val="24"/>
          <w:szCs w:val="24"/>
          <w:lang w:val="en-ID"/>
        </w:rPr>
        <w:t>Abstract</w:t>
      </w:r>
    </w:p>
    <w:p w:rsidR="002F05A9" w:rsidRPr="00277AFC" w:rsidRDefault="002F05A9" w:rsidP="00F05B46">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i/>
          <w:color w:val="202124"/>
          <w:sz w:val="24"/>
          <w:szCs w:val="24"/>
          <w:lang w:val="en-US" w:eastAsia="id-ID"/>
        </w:rPr>
      </w:pPr>
      <w:r>
        <w:rPr>
          <w:rFonts w:ascii="Book Antiqua" w:eastAsia="Times New Roman" w:hAnsi="Book Antiqua" w:cs="Courier New"/>
          <w:i/>
          <w:color w:val="202124"/>
          <w:sz w:val="24"/>
          <w:szCs w:val="24"/>
          <w:lang w:val="en" w:eastAsia="id-ID"/>
        </w:rPr>
        <w:tab/>
      </w:r>
      <w:r w:rsidRPr="00902AAE">
        <w:rPr>
          <w:rFonts w:ascii="Book Antiqua" w:eastAsia="Times New Roman" w:hAnsi="Book Antiqua" w:cs="Courier New"/>
          <w:i/>
          <w:color w:val="202124"/>
          <w:sz w:val="24"/>
          <w:szCs w:val="24"/>
          <w:lang w:val="en" w:eastAsia="id-ID"/>
        </w:rPr>
        <w:t xml:space="preserve">This article aims to describe the condition of the </w:t>
      </w:r>
      <w:r w:rsidR="00505F4C">
        <w:rPr>
          <w:rFonts w:ascii="Book Antiqua" w:eastAsia="Times New Roman" w:hAnsi="Book Antiqua" w:cs="Courier New"/>
          <w:i/>
          <w:color w:val="202124"/>
          <w:sz w:val="24"/>
          <w:szCs w:val="24"/>
          <w:lang w:val="en" w:eastAsia="id-ID"/>
        </w:rPr>
        <w:t>social-politic</w:t>
      </w:r>
      <w:r w:rsidRPr="00902AAE">
        <w:rPr>
          <w:rFonts w:ascii="Book Antiqua" w:eastAsia="Times New Roman" w:hAnsi="Book Antiqua" w:cs="Courier New"/>
          <w:i/>
          <w:color w:val="202124"/>
          <w:sz w:val="24"/>
          <w:szCs w:val="24"/>
          <w:lang w:val="en" w:eastAsia="id-ID"/>
        </w:rPr>
        <w:t xml:space="preserve"> after the Bongaya </w:t>
      </w:r>
      <w:r>
        <w:rPr>
          <w:rFonts w:ascii="Book Antiqua" w:eastAsia="Times New Roman" w:hAnsi="Book Antiqua" w:cs="Courier New"/>
          <w:i/>
          <w:color w:val="202124"/>
          <w:sz w:val="24"/>
          <w:szCs w:val="24"/>
          <w:lang w:val="en" w:eastAsia="id-ID"/>
        </w:rPr>
        <w:t xml:space="preserve">Agreement </w:t>
      </w:r>
      <w:r w:rsidRPr="00902AAE">
        <w:rPr>
          <w:rFonts w:ascii="Book Antiqua" w:eastAsia="Times New Roman" w:hAnsi="Book Antiqua" w:cs="Courier New"/>
          <w:i/>
          <w:color w:val="202124"/>
          <w:sz w:val="24"/>
          <w:szCs w:val="24"/>
          <w:lang w:val="en" w:eastAsia="id-ID"/>
        </w:rPr>
        <w:t>in 1667. This type of research is a historical research method (Library research). The author uses several approaches, namely historical approach, religious approach, anthropological approach. and a sociological approach. The Makassar War was a momentum for change from all aspects, not only changes from the political aspect but also the social, cultural and economic aspects that greatly tormented the people of Gowa. Sultan Hasanudin as a King is responsible for the fate of the people of the Kingdom of Gowa which is getting sadder by the day, Sultan Hasanudin must consider this even though he wants to continue to fight. Sultan Hasanudin really understands the suffering of the people of the Kingdom of Gowa. Because of these considerations, the war lasted approximately four years, starting from 1666-1669 and then ending with the</w:t>
      </w:r>
      <w:r>
        <w:rPr>
          <w:rFonts w:ascii="Book Antiqua" w:eastAsia="Times New Roman" w:hAnsi="Book Antiqua" w:cs="Courier New"/>
          <w:i/>
          <w:color w:val="202124"/>
          <w:sz w:val="24"/>
          <w:szCs w:val="24"/>
          <w:lang w:val="en" w:eastAsia="id-ID"/>
        </w:rPr>
        <w:t xml:space="preserve"> </w:t>
      </w:r>
      <w:r w:rsidRPr="00902AAE">
        <w:rPr>
          <w:rFonts w:ascii="Book Antiqua" w:eastAsia="Times New Roman" w:hAnsi="Book Antiqua" w:cs="Courier New"/>
          <w:i/>
          <w:color w:val="202124"/>
          <w:sz w:val="24"/>
          <w:szCs w:val="24"/>
          <w:lang w:val="en" w:eastAsia="id-ID"/>
        </w:rPr>
        <w:t>Bungaya</w:t>
      </w:r>
      <w:r>
        <w:rPr>
          <w:rFonts w:ascii="Book Antiqua" w:eastAsia="Times New Roman" w:hAnsi="Book Antiqua" w:cs="Courier New"/>
          <w:i/>
          <w:color w:val="202124"/>
          <w:sz w:val="24"/>
          <w:szCs w:val="24"/>
          <w:lang w:val="en" w:eastAsia="id-ID"/>
        </w:rPr>
        <w:t xml:space="preserve"> Agreemen</w:t>
      </w:r>
      <w:r w:rsidRPr="00902AAE">
        <w:rPr>
          <w:rFonts w:ascii="Book Antiqua" w:eastAsia="Times New Roman" w:hAnsi="Book Antiqua" w:cs="Courier New"/>
          <w:i/>
          <w:color w:val="202124"/>
          <w:sz w:val="24"/>
          <w:szCs w:val="24"/>
          <w:lang w:val="en" w:eastAsia="id-ID"/>
        </w:rPr>
        <w:t xml:space="preserve">, which consisted of 30 articles of agreement. Where the agreement affected all aspects of the life of the Gowa people, not only in terms of political aspects, but also the existence of Muslims. Since then the power and </w:t>
      </w:r>
      <w:r w:rsidRPr="00902AAE">
        <w:rPr>
          <w:rFonts w:ascii="Book Antiqua" w:eastAsia="Times New Roman" w:hAnsi="Book Antiqua" w:cs="Courier New"/>
          <w:i/>
          <w:color w:val="202124"/>
          <w:sz w:val="24"/>
          <w:szCs w:val="24"/>
          <w:lang w:val="en" w:eastAsia="id-ID"/>
        </w:rPr>
        <w:lastRenderedPageBreak/>
        <w:t>influence of the Dutch in Eastern Indonesia began to be embedded in a serious colonialism. Sultan Hasanuddin who valiantly defended his country until the last second, had ruled the kingdom of Gowa for 16 years, 1653-1669 and died in Gowa on June 12, 1670.</w:t>
      </w:r>
    </w:p>
    <w:p w:rsidR="002F05A9" w:rsidRDefault="002F05A9" w:rsidP="002F05A9">
      <w:pPr>
        <w:ind w:right="4"/>
        <w:jc w:val="both"/>
        <w:rPr>
          <w:rFonts w:ascii="Book Antiqua" w:hAnsi="Book Antiqua"/>
          <w:b/>
          <w:i/>
          <w:noProof/>
          <w:sz w:val="24"/>
          <w:szCs w:val="24"/>
          <w:lang w:val="en-ID"/>
        </w:rPr>
      </w:pPr>
      <w:r>
        <w:rPr>
          <w:rFonts w:ascii="Book Antiqua" w:hAnsi="Book Antiqua"/>
          <w:b/>
          <w:i/>
          <w:noProof/>
          <w:sz w:val="24"/>
          <w:szCs w:val="24"/>
          <w:lang w:val="en-ID"/>
        </w:rPr>
        <w:t>Ke</w:t>
      </w:r>
      <w:r w:rsidRPr="000C0CFD">
        <w:rPr>
          <w:rFonts w:ascii="Book Antiqua" w:hAnsi="Book Antiqua"/>
          <w:b/>
          <w:i/>
          <w:noProof/>
          <w:sz w:val="24"/>
          <w:szCs w:val="24"/>
          <w:lang w:val="en-ID"/>
        </w:rPr>
        <w:t xml:space="preserve">ywords: </w:t>
      </w:r>
      <w:r>
        <w:rPr>
          <w:rFonts w:ascii="Book Antiqua" w:hAnsi="Book Antiqua"/>
          <w:b/>
          <w:i/>
          <w:noProof/>
          <w:sz w:val="24"/>
          <w:szCs w:val="24"/>
          <w:lang w:val="en-ID"/>
        </w:rPr>
        <w:t>Social-Politic; Bungaya Agreement; VOC</w:t>
      </w:r>
      <w:r w:rsidRPr="000C0CFD">
        <w:rPr>
          <w:rFonts w:ascii="Book Antiqua" w:hAnsi="Book Antiqua"/>
          <w:b/>
          <w:i/>
          <w:noProof/>
          <w:sz w:val="24"/>
          <w:szCs w:val="24"/>
          <w:lang w:val="en-ID"/>
        </w:rPr>
        <w:t>.</w:t>
      </w:r>
    </w:p>
    <w:p w:rsidR="000C095C" w:rsidRPr="00AF2B0A" w:rsidRDefault="00EE20D4" w:rsidP="00CF4BEB">
      <w:pPr>
        <w:tabs>
          <w:tab w:val="left" w:pos="993"/>
        </w:tabs>
        <w:spacing w:after="0"/>
        <w:jc w:val="both"/>
        <w:rPr>
          <w:rFonts w:ascii="Book Antiqua" w:hAnsi="Book Antiqua"/>
          <w:b/>
          <w:noProof/>
          <w:sz w:val="24"/>
          <w:szCs w:val="24"/>
          <w:lang w:val="en-ID"/>
        </w:rPr>
      </w:pPr>
      <w:r w:rsidRPr="00AF2B0A">
        <w:rPr>
          <w:rFonts w:ascii="Book Antiqua" w:hAnsi="Book Antiqua"/>
          <w:b/>
          <w:noProof/>
          <w:sz w:val="24"/>
          <w:szCs w:val="24"/>
          <w:lang w:val="en-ID"/>
        </w:rPr>
        <w:t xml:space="preserve">PENDAHULUAN </w:t>
      </w:r>
    </w:p>
    <w:p w:rsidR="00A17DAA" w:rsidRPr="00AF2B0A" w:rsidRDefault="00A17DAA" w:rsidP="00CF4BEB">
      <w:pPr>
        <w:spacing w:after="0"/>
        <w:ind w:firstLine="709"/>
        <w:jc w:val="both"/>
        <w:rPr>
          <w:rFonts w:ascii="Book Antiqua" w:hAnsi="Book Antiqua" w:cs="Times New Roman"/>
          <w:sz w:val="24"/>
          <w:szCs w:val="24"/>
          <w:lang w:val="en-US"/>
        </w:rPr>
      </w:pPr>
      <w:r w:rsidRPr="00AF2B0A">
        <w:rPr>
          <w:rFonts w:ascii="Book Antiqua" w:hAnsi="Book Antiqua" w:cs="Times New Roman"/>
          <w:sz w:val="24"/>
          <w:szCs w:val="24"/>
          <w:lang w:val="en-US"/>
        </w:rPr>
        <w:t>Perang Makassar sebagai momentum perubahan dari segala aspek, tidak hanya perubahan dari aspek politik tetapi juga aspek sosial, budaya dan ekonomi. Perang berlangsung kurang lebih empat tahun, dimulai dari tahun 1666-1669 yang kemudian diakhiri dengan Perjanjian Bungaya. Jika perang Makassar adalah sebuah proses maka Perjanjian Bungaya adalah akhir dan hasil dari proses tersebut. Sebuah konsekuensi logis, bahwa dalam perang akan ada yang menang dan di sisi lain akan ada yang kalah. Pihak yang menang akan menjadi penguasa baru dan pihak yang kalah akan menjadi bawahan. Penguasa baru akan mewarnai zamannya dengan ciri khas tersendiri yang membedakannya dengan ciri penguasa sebelumnya. Hal ini kemudian terjadi di semenanjung Sulawesi Selatan atau Indonesia bagian timur pada umumnya. Kerajaan kembar Gowa-Tallo sebagai penguasa unggul di wilayah ini kini telah berakhir dan digantikan oleh keunggulan Kerajaan Bone, Soppeng beserta sekutunya VOC (Perusahaan Belanda).</w:t>
      </w:r>
      <w:r w:rsidRPr="00925BD6">
        <w:rPr>
          <w:rStyle w:val="FootnoteReference"/>
        </w:rPr>
        <w:footnoteReference w:id="1"/>
      </w:r>
    </w:p>
    <w:p w:rsidR="00A17DAA" w:rsidRPr="00AF2B0A" w:rsidRDefault="00A17DAA" w:rsidP="00CF4BEB">
      <w:pPr>
        <w:spacing w:before="120" w:after="0"/>
        <w:ind w:firstLine="720"/>
        <w:jc w:val="both"/>
        <w:rPr>
          <w:rFonts w:ascii="Book Antiqua" w:hAnsi="Book Antiqua" w:cs="Times New Roman"/>
          <w:sz w:val="24"/>
          <w:szCs w:val="24"/>
        </w:rPr>
      </w:pPr>
      <w:r w:rsidRPr="00AF2B0A">
        <w:rPr>
          <w:rFonts w:ascii="Book Antiqua" w:hAnsi="Book Antiqua" w:cs="Times New Roman"/>
          <w:sz w:val="24"/>
          <w:szCs w:val="24"/>
          <w:lang w:val="en-US"/>
        </w:rPr>
        <w:t>Kedahsyatan Perang Makassar sebagai bentuk perlawanan dari masyarakat Makassar dalam menghadapi bangsa asing (VOC Belanda)</w:t>
      </w:r>
      <w:r w:rsidRPr="00925BD6">
        <w:rPr>
          <w:rStyle w:val="FootnoteReference"/>
        </w:rPr>
        <w:footnoteReference w:id="2"/>
      </w:r>
      <w:r w:rsidRPr="00AF2B0A">
        <w:rPr>
          <w:rFonts w:ascii="Book Antiqua" w:hAnsi="Book Antiqua" w:cs="Times New Roman"/>
          <w:sz w:val="24"/>
          <w:szCs w:val="24"/>
          <w:lang w:val="en-US"/>
        </w:rPr>
        <w:t xml:space="preserve"> </w:t>
      </w:r>
      <w:r w:rsidRPr="00AF2B0A">
        <w:rPr>
          <w:rFonts w:ascii="Book Antiqua" w:hAnsi="Book Antiqua" w:cs="Times New Roman"/>
          <w:sz w:val="24"/>
          <w:szCs w:val="24"/>
        </w:rPr>
        <w:t>Peristiwa ini mewarnai sejarah masyarakat Kesultanan Makassar dan masyarakat Sulawesi Selatan pada umumnya yang telah memeluk agama Islam sekitar lima puluh tahun sebelumnya.</w:t>
      </w:r>
    </w:p>
    <w:p w:rsidR="00A17DAA" w:rsidRPr="00AF2B0A" w:rsidRDefault="00A17DAA" w:rsidP="00CF4BEB">
      <w:pPr>
        <w:spacing w:before="120" w:after="0"/>
        <w:ind w:firstLine="720"/>
        <w:jc w:val="both"/>
        <w:rPr>
          <w:rFonts w:ascii="Book Antiqua" w:hAnsi="Book Antiqua" w:cs="Times New Roman"/>
          <w:sz w:val="24"/>
          <w:szCs w:val="24"/>
          <w:lang w:val="en-US"/>
        </w:rPr>
      </w:pPr>
      <w:r w:rsidRPr="00AF2B0A">
        <w:rPr>
          <w:rFonts w:ascii="Book Antiqua" w:hAnsi="Book Antiqua" w:cs="Times New Roman"/>
          <w:sz w:val="24"/>
          <w:szCs w:val="24"/>
        </w:rPr>
        <w:t>Perang Sultan Hasanuddin dengan VOC Belanda merupakan perang terbesar dan terberat yang dihadapi VOC Belanda di Asia Tenggara pada abad ketujuh belas. Perang tersebut memunculkan nama Sultan Hasanuddin sebagai raja yang berani menghadapi penetrasi kekuatan Eropa di Nusantara. Dalam pandangan masyarakat Indonesia beliau adalah pahlawan</w:t>
      </w:r>
      <w:r w:rsidRPr="00AF2B0A">
        <w:rPr>
          <w:rFonts w:ascii="Book Antiqua" w:hAnsi="Book Antiqua" w:cs="Times New Roman"/>
          <w:sz w:val="24"/>
          <w:szCs w:val="24"/>
          <w:lang w:val="en-US"/>
        </w:rPr>
        <w:t xml:space="preserve"> </w:t>
      </w:r>
      <w:r w:rsidRPr="00AF2B0A">
        <w:rPr>
          <w:rFonts w:ascii="Book Antiqua" w:hAnsi="Book Antiqua" w:cs="Times New Roman"/>
          <w:sz w:val="24"/>
          <w:szCs w:val="24"/>
        </w:rPr>
        <w:t>nasional yang hebat. Begitu pula dalam pandangan orang Eropa, terutama Belanda sebagai saingannya, ia disebut Ayam Jago dari timur.</w:t>
      </w:r>
      <w:r w:rsidRPr="00AF2B0A">
        <w:rPr>
          <w:rFonts w:ascii="Book Antiqua" w:hAnsi="Book Antiqua" w:cs="Times New Roman"/>
          <w:sz w:val="24"/>
          <w:szCs w:val="24"/>
          <w:lang w:val="en-US"/>
        </w:rPr>
        <w:t xml:space="preserve">  </w:t>
      </w:r>
    </w:p>
    <w:p w:rsidR="00A17DAA" w:rsidRPr="00AF2B0A" w:rsidRDefault="00A17DAA" w:rsidP="00CF4BEB">
      <w:pPr>
        <w:tabs>
          <w:tab w:val="left" w:pos="993"/>
        </w:tabs>
        <w:spacing w:before="240" w:after="120"/>
        <w:jc w:val="both"/>
        <w:rPr>
          <w:rFonts w:ascii="Book Antiqua" w:hAnsi="Book Antiqua" w:cs="Times New Roman"/>
          <w:b/>
          <w:i/>
          <w:sz w:val="24"/>
          <w:szCs w:val="24"/>
          <w:lang w:val="en-US"/>
        </w:rPr>
      </w:pPr>
      <w:r w:rsidRPr="00AF2B0A">
        <w:rPr>
          <w:rFonts w:ascii="Book Antiqua" w:hAnsi="Book Antiqua"/>
          <w:b/>
          <w:noProof/>
          <w:sz w:val="24"/>
          <w:szCs w:val="24"/>
          <w:lang w:val="en-ID"/>
        </w:rPr>
        <w:t>METODE PENELITIAN</w:t>
      </w:r>
      <w:r w:rsidRPr="00AF2B0A">
        <w:rPr>
          <w:rFonts w:ascii="Book Antiqua" w:hAnsi="Book Antiqua" w:cs="Times New Roman"/>
          <w:b/>
          <w:i/>
          <w:sz w:val="24"/>
          <w:szCs w:val="24"/>
        </w:rPr>
        <w:t xml:space="preserve"> </w:t>
      </w:r>
    </w:p>
    <w:p w:rsidR="00CF4BEB" w:rsidRPr="00AF2B0A" w:rsidRDefault="00CF4BEB" w:rsidP="00CF4BEB">
      <w:pPr>
        <w:tabs>
          <w:tab w:val="left" w:pos="567"/>
        </w:tabs>
        <w:spacing w:before="240" w:after="120"/>
        <w:jc w:val="both"/>
        <w:rPr>
          <w:rFonts w:ascii="Book Antiqua" w:hAnsi="Book Antiqua" w:cs="Times New Roman"/>
          <w:sz w:val="24"/>
          <w:szCs w:val="24"/>
          <w:lang w:val="en-US"/>
        </w:rPr>
      </w:pPr>
      <w:r w:rsidRPr="00AF2B0A">
        <w:rPr>
          <w:rFonts w:ascii="Book Antiqua" w:eastAsia="Times New Roman" w:hAnsi="Book Antiqua" w:cs="Times New Roman"/>
          <w:color w:val="202124"/>
          <w:sz w:val="24"/>
          <w:szCs w:val="24"/>
          <w:lang w:val="en-US"/>
        </w:rPr>
        <w:tab/>
      </w:r>
      <w:r w:rsidRPr="00AF2B0A">
        <w:rPr>
          <w:rFonts w:ascii="Book Antiqua" w:eastAsia="Times New Roman" w:hAnsi="Book Antiqua" w:cs="Times New Roman"/>
          <w:color w:val="202124"/>
          <w:sz w:val="24"/>
          <w:szCs w:val="24"/>
        </w:rPr>
        <w:t>Jenis penelitian yang digunakan dalam penelitian ini adalah penelitian kualitatif dan juga penelitian kepustakaan. Penelitian kualitatif merupakan strategi inqury yang menekankan pada pencarian makna</w:t>
      </w:r>
      <w:r w:rsidRPr="00AF2B0A">
        <w:rPr>
          <w:rFonts w:ascii="Book Antiqua" w:hAnsi="Book Antiqua" w:cs="Times New Roman"/>
          <w:sz w:val="24"/>
          <w:szCs w:val="24"/>
        </w:rPr>
        <w:t>.</w:t>
      </w:r>
      <w:r w:rsidRPr="00925BD6">
        <w:rPr>
          <w:rStyle w:val="FootnoteReference"/>
        </w:rPr>
        <w:footnoteReference w:id="3"/>
      </w:r>
      <w:r w:rsidRPr="00AF2B0A">
        <w:rPr>
          <w:rFonts w:ascii="Book Antiqua" w:hAnsi="Book Antiqua" w:cs="Times New Roman"/>
          <w:sz w:val="24"/>
          <w:szCs w:val="24"/>
          <w:lang w:val="en-US"/>
        </w:rPr>
        <w:t xml:space="preserve"> </w:t>
      </w:r>
      <w:r w:rsidRPr="00AF2B0A">
        <w:rPr>
          <w:rFonts w:ascii="Book Antiqua" w:eastAsia="Times New Roman" w:hAnsi="Book Antiqua" w:cs="Times New Roman"/>
          <w:color w:val="202124"/>
          <w:sz w:val="24"/>
          <w:szCs w:val="24"/>
        </w:rPr>
        <w:t xml:space="preserve">Jenis penelitian ini adalah studi </w:t>
      </w:r>
      <w:r w:rsidRPr="00AF2B0A">
        <w:rPr>
          <w:rFonts w:ascii="Book Antiqua" w:eastAsia="Times New Roman" w:hAnsi="Book Antiqua" w:cs="Times New Roman"/>
          <w:color w:val="202124"/>
          <w:sz w:val="24"/>
          <w:szCs w:val="24"/>
        </w:rPr>
        <w:lastRenderedPageBreak/>
        <w:t>sejarah yang berkaitan dengan peristiwa-peristiwa yang pernah terjadi di masa lampau. Referensi yang digunakan dalam penulisan ini diambil dari buku perpustakaan, arsip, jurnal dan sejenisnya.</w:t>
      </w:r>
    </w:p>
    <w:p w:rsidR="00D05F92" w:rsidRPr="00AF2B0A" w:rsidRDefault="00D05F92" w:rsidP="00CF4BEB">
      <w:pPr>
        <w:pStyle w:val="ListParagraph"/>
        <w:numPr>
          <w:ilvl w:val="0"/>
          <w:numId w:val="7"/>
        </w:numPr>
        <w:shd w:val="clear" w:color="auto" w:fill="FFFFFF" w:themeFill="background1"/>
        <w:spacing w:after="0"/>
        <w:ind w:left="426"/>
        <w:jc w:val="both"/>
        <w:rPr>
          <w:rFonts w:ascii="Book Antiqua" w:hAnsi="Book Antiqua" w:cs="Times New Roman"/>
          <w:sz w:val="24"/>
          <w:szCs w:val="24"/>
        </w:rPr>
      </w:pPr>
      <w:r w:rsidRPr="00AF2B0A">
        <w:rPr>
          <w:rFonts w:ascii="Book Antiqua" w:hAnsi="Book Antiqua" w:cs="Times New Roman"/>
          <w:sz w:val="24"/>
          <w:szCs w:val="24"/>
        </w:rPr>
        <w:t>Heuristik</w:t>
      </w:r>
    </w:p>
    <w:p w:rsidR="00D05F92" w:rsidRPr="00AF2B0A" w:rsidRDefault="00D05F92" w:rsidP="00CF4BEB">
      <w:pPr>
        <w:shd w:val="clear" w:color="auto" w:fill="FFFFFF" w:themeFill="background1"/>
        <w:spacing w:after="0"/>
        <w:ind w:left="426" w:firstLine="371"/>
        <w:jc w:val="both"/>
        <w:rPr>
          <w:rFonts w:ascii="Book Antiqua" w:hAnsi="Book Antiqua" w:cs="Times New Roman"/>
          <w:sz w:val="24"/>
          <w:szCs w:val="24"/>
        </w:rPr>
      </w:pPr>
      <w:r w:rsidRPr="00AF2B0A">
        <w:rPr>
          <w:rFonts w:ascii="Book Antiqua" w:hAnsi="Book Antiqua" w:cs="Times New Roman"/>
          <w:sz w:val="24"/>
          <w:szCs w:val="24"/>
        </w:rPr>
        <w:t>Dalam proses penelitian, ada beberapa proses yang harus dilalui yaitu metode penelitian. Metode penelitian itu sendiri mencakup beberapa aspek diantaranya ialah heoristik, heoristik adalah suatu metode yang digunakan dalam proses penelitian untuk mengumpulkan data sumber yang berkaitan atau relefan dengan tema yang ingin diteliti.</w:t>
      </w:r>
    </w:p>
    <w:p w:rsidR="00D05F92" w:rsidRPr="00AF2B0A" w:rsidRDefault="00D05F92" w:rsidP="00CF4BEB">
      <w:pPr>
        <w:pStyle w:val="ListParagraph"/>
        <w:numPr>
          <w:ilvl w:val="0"/>
          <w:numId w:val="7"/>
        </w:numPr>
        <w:shd w:val="clear" w:color="auto" w:fill="FFFFFF" w:themeFill="background1"/>
        <w:spacing w:after="0"/>
        <w:ind w:left="426"/>
        <w:jc w:val="both"/>
        <w:rPr>
          <w:rFonts w:ascii="Book Antiqua" w:hAnsi="Book Antiqua" w:cs="Times New Roman"/>
          <w:sz w:val="24"/>
          <w:szCs w:val="24"/>
        </w:rPr>
      </w:pPr>
      <w:r w:rsidRPr="00AF2B0A">
        <w:rPr>
          <w:rFonts w:ascii="Book Antiqua" w:hAnsi="Book Antiqua" w:cs="Times New Roman"/>
          <w:sz w:val="24"/>
          <w:szCs w:val="24"/>
        </w:rPr>
        <w:t xml:space="preserve">Kritik Sumber </w:t>
      </w:r>
    </w:p>
    <w:p w:rsidR="00D05F92" w:rsidRPr="00AF2B0A" w:rsidRDefault="00D05F92" w:rsidP="00CF4BEB">
      <w:pPr>
        <w:shd w:val="clear" w:color="auto" w:fill="FFFFFF" w:themeFill="background1"/>
        <w:spacing w:after="0"/>
        <w:ind w:left="426" w:firstLine="371"/>
        <w:jc w:val="both"/>
        <w:rPr>
          <w:rFonts w:ascii="Book Antiqua" w:hAnsi="Book Antiqua" w:cs="Times New Roman"/>
          <w:sz w:val="24"/>
          <w:szCs w:val="24"/>
        </w:rPr>
      </w:pPr>
      <w:r w:rsidRPr="00AF2B0A">
        <w:rPr>
          <w:rFonts w:ascii="Book Antiqua" w:hAnsi="Book Antiqua" w:cs="Times New Roman"/>
          <w:sz w:val="24"/>
          <w:szCs w:val="24"/>
        </w:rPr>
        <w:t>Kritik sumber merupakan  suatu tahapan, dimana data yang telah didapatkan akan disaring dan kemudian dianalisa. dari data ini, penulis akan menverifikasi data dan mengkritik  yang sesuai dengan fakta sejarah.</w:t>
      </w:r>
    </w:p>
    <w:p w:rsidR="00D05F92" w:rsidRPr="00AF2B0A" w:rsidRDefault="00D05F92" w:rsidP="00CF4BEB">
      <w:pPr>
        <w:pStyle w:val="ListParagraph"/>
        <w:numPr>
          <w:ilvl w:val="0"/>
          <w:numId w:val="7"/>
        </w:numPr>
        <w:shd w:val="clear" w:color="auto" w:fill="FFFFFF" w:themeFill="background1"/>
        <w:spacing w:after="0"/>
        <w:ind w:left="426"/>
        <w:jc w:val="both"/>
        <w:rPr>
          <w:rFonts w:ascii="Book Antiqua" w:hAnsi="Book Antiqua" w:cs="Times New Roman"/>
          <w:sz w:val="24"/>
          <w:szCs w:val="24"/>
        </w:rPr>
      </w:pPr>
      <w:r w:rsidRPr="00AF2B0A">
        <w:rPr>
          <w:rFonts w:ascii="Book Antiqua" w:hAnsi="Book Antiqua" w:cs="Times New Roman"/>
          <w:sz w:val="24"/>
          <w:szCs w:val="24"/>
        </w:rPr>
        <w:t>Interpretasi</w:t>
      </w:r>
    </w:p>
    <w:p w:rsidR="00D05F92" w:rsidRPr="00AF2B0A" w:rsidRDefault="00D05F92" w:rsidP="00CF4BEB">
      <w:pPr>
        <w:shd w:val="clear" w:color="auto" w:fill="FFFFFF" w:themeFill="background1"/>
        <w:spacing w:after="0"/>
        <w:ind w:left="426" w:firstLine="371"/>
        <w:jc w:val="both"/>
        <w:rPr>
          <w:rFonts w:ascii="Book Antiqua" w:hAnsi="Book Antiqua" w:cs="Times New Roman"/>
          <w:sz w:val="24"/>
          <w:szCs w:val="24"/>
        </w:rPr>
      </w:pPr>
      <w:r w:rsidRPr="00AF2B0A">
        <w:rPr>
          <w:rFonts w:ascii="Book Antiqua" w:hAnsi="Book Antiqua" w:cs="Times New Roman"/>
          <w:sz w:val="24"/>
          <w:szCs w:val="24"/>
        </w:rPr>
        <w:t>Pada tahapan penulisan sejarah, pada bagian penulisan yang ketiga ini ada yang dinamakan dengan interpretasi, bagian ini peneliti sejarah sangat berperan penting, karena pada tahapan ini penulis akan menganalisa dan  membandingkan data-data yang didapat kemudian menafsirkanya. Pada tahapan ini penulis mengunakan metode sebagai berikut:</w:t>
      </w:r>
    </w:p>
    <w:p w:rsidR="00D05F92" w:rsidRPr="00AF2B0A" w:rsidRDefault="00D05F92" w:rsidP="00CF4BEB">
      <w:pPr>
        <w:pStyle w:val="ListParagraph"/>
        <w:numPr>
          <w:ilvl w:val="0"/>
          <w:numId w:val="8"/>
        </w:numPr>
        <w:shd w:val="clear" w:color="auto" w:fill="FFFFFF" w:themeFill="background1"/>
        <w:spacing w:after="0"/>
        <w:ind w:left="851" w:hanging="283"/>
        <w:jc w:val="both"/>
        <w:rPr>
          <w:rFonts w:ascii="Book Antiqua" w:hAnsi="Book Antiqua" w:cs="Times New Roman"/>
          <w:sz w:val="24"/>
          <w:szCs w:val="24"/>
        </w:rPr>
      </w:pPr>
      <w:r w:rsidRPr="00AF2B0A">
        <w:rPr>
          <w:rFonts w:ascii="Book Antiqua" w:hAnsi="Book Antiqua" w:cs="Times New Roman"/>
          <w:sz w:val="24"/>
          <w:szCs w:val="24"/>
        </w:rPr>
        <w:t>Metode Induktif, yaitu dari khusus ke umum, artinya menganalisa data yang didapatkan dari yang bersifat khusus kemudian menarik kesimpulan yang bersifat umum.</w:t>
      </w:r>
    </w:p>
    <w:p w:rsidR="00D05F92" w:rsidRPr="00AF2B0A" w:rsidRDefault="00D05F92" w:rsidP="00CF4BEB">
      <w:pPr>
        <w:pStyle w:val="ListParagraph"/>
        <w:numPr>
          <w:ilvl w:val="0"/>
          <w:numId w:val="8"/>
        </w:numPr>
        <w:shd w:val="clear" w:color="auto" w:fill="FFFFFF" w:themeFill="background1"/>
        <w:spacing w:after="0"/>
        <w:ind w:left="851" w:hanging="283"/>
        <w:jc w:val="both"/>
        <w:rPr>
          <w:rFonts w:ascii="Book Antiqua" w:hAnsi="Book Antiqua" w:cs="Times New Roman"/>
          <w:sz w:val="24"/>
          <w:szCs w:val="24"/>
        </w:rPr>
      </w:pPr>
      <w:r w:rsidRPr="00AF2B0A">
        <w:rPr>
          <w:rFonts w:ascii="Book Antiqua" w:hAnsi="Book Antiqua" w:cs="Times New Roman"/>
          <w:sz w:val="24"/>
          <w:szCs w:val="24"/>
        </w:rPr>
        <w:t>Metode Deduktif, metode ini merupakan pengambilan kesimpulan dari yang bersifat umum ke khusus, artinya penulis menganalisa data-data dari yang umum kemudian mengambil kesimpulan yang bersifat khusus.</w:t>
      </w:r>
    </w:p>
    <w:p w:rsidR="00D05F92" w:rsidRPr="00AF2B0A" w:rsidRDefault="00D05F92" w:rsidP="00CF4BEB">
      <w:pPr>
        <w:pStyle w:val="ListParagraph"/>
        <w:numPr>
          <w:ilvl w:val="0"/>
          <w:numId w:val="7"/>
        </w:numPr>
        <w:shd w:val="clear" w:color="auto" w:fill="FFFFFF" w:themeFill="background1"/>
        <w:spacing w:after="0"/>
        <w:ind w:left="426"/>
        <w:jc w:val="both"/>
        <w:rPr>
          <w:rFonts w:ascii="Book Antiqua" w:hAnsi="Book Antiqua" w:cs="Times New Roman"/>
          <w:sz w:val="24"/>
          <w:szCs w:val="24"/>
        </w:rPr>
      </w:pPr>
      <w:r w:rsidRPr="00AF2B0A">
        <w:rPr>
          <w:rFonts w:ascii="Book Antiqua" w:hAnsi="Book Antiqua" w:cs="Times New Roman"/>
          <w:sz w:val="24"/>
          <w:szCs w:val="24"/>
        </w:rPr>
        <w:t xml:space="preserve">Historiografi </w:t>
      </w:r>
    </w:p>
    <w:p w:rsidR="002F05A9" w:rsidRPr="00AF2B0A" w:rsidRDefault="00D05F92" w:rsidP="00505F4C">
      <w:pPr>
        <w:shd w:val="clear" w:color="auto" w:fill="FFFFFF" w:themeFill="background1"/>
        <w:spacing w:after="0"/>
        <w:ind w:left="426" w:firstLine="435"/>
        <w:jc w:val="both"/>
        <w:rPr>
          <w:rFonts w:ascii="Book Antiqua" w:hAnsi="Book Antiqua" w:cs="Times New Roman"/>
          <w:sz w:val="24"/>
          <w:szCs w:val="24"/>
          <w:lang w:val="en-US"/>
        </w:rPr>
      </w:pPr>
      <w:r w:rsidRPr="00AF2B0A">
        <w:rPr>
          <w:rFonts w:ascii="Book Antiqua" w:hAnsi="Book Antiqua" w:cs="Times New Roman"/>
          <w:sz w:val="24"/>
          <w:szCs w:val="24"/>
        </w:rPr>
        <w:t>Historiograf</w:t>
      </w:r>
      <w:r w:rsidRPr="00AF2B0A">
        <w:rPr>
          <w:rFonts w:ascii="Book Antiqua" w:hAnsi="Book Antiqua" w:cs="Times New Roman"/>
          <w:sz w:val="24"/>
          <w:szCs w:val="24"/>
          <w:lang w:val="en-US"/>
        </w:rPr>
        <w:t>I</w:t>
      </w:r>
      <w:r w:rsidRPr="00AF2B0A">
        <w:rPr>
          <w:rFonts w:ascii="Book Antiqua" w:hAnsi="Book Antiqua" w:cs="Times New Roman"/>
          <w:sz w:val="24"/>
          <w:szCs w:val="24"/>
        </w:rPr>
        <w:t xml:space="preserve"> suatu tahapan paling akhir dari seluruh rangkaian penulisan yang merupakan proses penyusunan fakta-fakta ilmiah yang telah diperoleh dan diseleksi sehingga mengasilkan suatu bentuk penulisan Sejarah Islam.</w:t>
      </w:r>
      <w:r w:rsidRPr="00925BD6">
        <w:rPr>
          <w:rStyle w:val="FootnoteReference"/>
        </w:rPr>
        <w:footnoteReference w:id="4"/>
      </w:r>
      <w:r w:rsidRPr="00AF2B0A">
        <w:rPr>
          <w:rFonts w:ascii="Book Antiqua" w:hAnsi="Book Antiqua" w:cs="Times New Roman"/>
          <w:sz w:val="24"/>
          <w:szCs w:val="24"/>
        </w:rPr>
        <w:t xml:space="preserve"> Setelah penulisan, maka hasil dari penelitian sejarah tersebut dapatlah disajikan atau dibaca dan juga dapat dijadikan sumber data pada penelitian selanjutnya.</w:t>
      </w:r>
      <w:r w:rsidRPr="00AF2B0A">
        <w:rPr>
          <w:rFonts w:ascii="Book Antiqua" w:hAnsi="Book Antiqua" w:cs="Times New Roman"/>
          <w:sz w:val="24"/>
          <w:szCs w:val="24"/>
          <w:lang w:val="en-US"/>
        </w:rPr>
        <w:t xml:space="preserve"> </w:t>
      </w:r>
    </w:p>
    <w:p w:rsidR="00AF2B0A" w:rsidRPr="00AF2B0A" w:rsidRDefault="00AF2B0A" w:rsidP="00CF4BEB">
      <w:pPr>
        <w:tabs>
          <w:tab w:val="left" w:pos="993"/>
        </w:tabs>
        <w:spacing w:before="240" w:after="120"/>
        <w:jc w:val="both"/>
        <w:rPr>
          <w:rFonts w:ascii="Book Antiqua" w:hAnsi="Book Antiqua" w:cs="Times New Roman"/>
          <w:b/>
          <w:i/>
          <w:sz w:val="24"/>
          <w:szCs w:val="24"/>
          <w:lang w:val="en-US"/>
        </w:rPr>
      </w:pPr>
      <w:r w:rsidRPr="00AF2B0A">
        <w:rPr>
          <w:rFonts w:ascii="Book Antiqua" w:hAnsi="Book Antiqua"/>
          <w:b/>
          <w:noProof/>
          <w:sz w:val="24"/>
          <w:szCs w:val="24"/>
          <w:lang w:val="en-ID"/>
        </w:rPr>
        <w:t>HASIL PENELITIAN DAN PEMBAHASAN</w:t>
      </w:r>
      <w:r w:rsidRPr="00AF2B0A">
        <w:rPr>
          <w:rFonts w:ascii="Book Antiqua" w:hAnsi="Book Antiqua" w:cs="Times New Roman"/>
          <w:b/>
          <w:i/>
          <w:sz w:val="24"/>
          <w:szCs w:val="24"/>
        </w:rPr>
        <w:t xml:space="preserve"> </w:t>
      </w:r>
    </w:p>
    <w:p w:rsidR="00F43A59" w:rsidRPr="00AF2B0A" w:rsidRDefault="00F43A59" w:rsidP="00505F4C">
      <w:pPr>
        <w:pStyle w:val="ListParagraph"/>
        <w:numPr>
          <w:ilvl w:val="0"/>
          <w:numId w:val="9"/>
        </w:numPr>
        <w:tabs>
          <w:tab w:val="left" w:pos="993"/>
        </w:tabs>
        <w:spacing w:after="120"/>
        <w:ind w:left="426"/>
        <w:jc w:val="both"/>
        <w:rPr>
          <w:rFonts w:ascii="Book Antiqua" w:hAnsi="Book Antiqua" w:cs="Times New Roman"/>
          <w:b/>
          <w:sz w:val="24"/>
          <w:szCs w:val="24"/>
        </w:rPr>
      </w:pPr>
      <w:r w:rsidRPr="00AF2B0A">
        <w:rPr>
          <w:rFonts w:ascii="Book Antiqua" w:hAnsi="Book Antiqua" w:cs="Times New Roman"/>
          <w:b/>
          <w:sz w:val="24"/>
          <w:szCs w:val="24"/>
        </w:rPr>
        <w:t>Kondisi Politik Pasca Perjanjian Bongaya</w:t>
      </w:r>
    </w:p>
    <w:p w:rsidR="00F43A59" w:rsidRPr="00AF2B0A" w:rsidRDefault="00F43A59" w:rsidP="00AF2B0A">
      <w:pPr>
        <w:pStyle w:val="Default"/>
        <w:spacing w:line="276" w:lineRule="auto"/>
        <w:ind w:firstLine="567"/>
        <w:jc w:val="both"/>
        <w:rPr>
          <w:rFonts w:ascii="Book Antiqua" w:hAnsi="Book Antiqua"/>
          <w:color w:val="auto"/>
        </w:rPr>
      </w:pPr>
      <w:r w:rsidRPr="00AF2B0A">
        <w:rPr>
          <w:rFonts w:ascii="Book Antiqua" w:hAnsi="Book Antiqua"/>
          <w:color w:val="auto"/>
        </w:rPr>
        <w:t xml:space="preserve">Pada tanggal 18 November 1667, sebuah perjanjian ditandatangani di sebuah desa atau tempat di selatan kota Makassar atau sudut pandang saat ini. Desa ini terletak di dekat barombong yang kini terkenal sebagai tempat pemandian tepi pantai yang sangat indah. Tempat atau desa tempat perjanjian itu ditandatangani </w:t>
      </w:r>
      <w:r w:rsidRPr="00AF2B0A">
        <w:rPr>
          <w:rFonts w:ascii="Book Antiqua" w:hAnsi="Book Antiqua"/>
          <w:color w:val="auto"/>
        </w:rPr>
        <w:lastRenderedPageBreak/>
        <w:t xml:space="preserve">disebut "Bungaya"' Oleh karena itu perjanjian ini kemudian dikenal sebagai het bongaais verdrag, yaitu perjanjian Bungaya oleh Belanda. Dalam negosiasi sebelum kesepakatan ditandatangani. Speelman dan Belanda sangat terkesan dengan sikap Hero Hasanudin terhadap Arung Palaka dan Arung Kaju Sultan Hasanudin yang ramah. Namun, pejabat senior yang berbalik seperti Karaeng Laiya dan Karaeng Bangkala Sultan Hasanuddin bersikap berbeda. </w:t>
      </w:r>
    </w:p>
    <w:p w:rsidR="00F43A59" w:rsidRPr="00AF2B0A" w:rsidRDefault="00F43A59" w:rsidP="00AF2B0A">
      <w:pPr>
        <w:pStyle w:val="Default"/>
        <w:spacing w:line="276" w:lineRule="auto"/>
        <w:ind w:firstLine="567"/>
        <w:jc w:val="both"/>
        <w:rPr>
          <w:rFonts w:ascii="Book Antiqua" w:hAnsi="Book Antiqua"/>
          <w:color w:val="auto"/>
        </w:rPr>
      </w:pPr>
      <w:r w:rsidRPr="00AF2B0A">
        <w:rPr>
          <w:rFonts w:ascii="Book Antiqua" w:hAnsi="Book Antiqua"/>
          <w:color w:val="auto"/>
        </w:rPr>
        <w:t>Para bangsawan dan pemimpin Gowa tidak sepakat untuk mengadakan perundingan atau perjanjian damai. Namun sebagai seorang Raja, Sultan Hasanudin bertanggung jawab atas nasib rakyat Kerajaan Gowa yang semakin hari semakin menyedihkan, Sultan Hasanudin harus mempertimbangkan hal ini meski ingin terus berjuang. Sultan Hasanudin sangat memahami penderitaan rakyat Kerajaan Gowa. Kerajaan Gowa benar-benar diserang oleh musuh yang datang dari selatan, timur, utara, dan barat. Sekarang pasukan VOC bertambah banyak sementara pasukan Go</w:t>
      </w:r>
      <w:r w:rsidR="004570BF" w:rsidRPr="00AF2B0A">
        <w:rPr>
          <w:rFonts w:ascii="Book Antiqua" w:hAnsi="Book Antiqua"/>
          <w:color w:val="auto"/>
        </w:rPr>
        <w:t>w</w:t>
      </w:r>
      <w:r w:rsidRPr="00AF2B0A">
        <w:rPr>
          <w:rFonts w:ascii="Book Antiqua" w:hAnsi="Book Antiqua"/>
          <w:color w:val="auto"/>
        </w:rPr>
        <w:t>a semakin lemah. Tanah Gowa sendiri dalam kondisi yang sangat buruk karena tempat tinggal masyarakat selalu dijadikan sebagai medan pertempuran. Bahkan, banyak ladang yang diinjak-injak atau dihancurkan dengan cara dibakar oleh Belanda dan sekutunya. Melanjutkan perang dalam kondisi atau keadaan seperti itu berarti bunuh diri dan kehancuran dan malapetaka bagi masyarakat Gowa. Untuk itu, Sultan Hasanudin merasa lebih bijaksana untuk berdamai dengan Belanda.</w:t>
      </w:r>
    </w:p>
    <w:p w:rsidR="00F43A59" w:rsidRPr="00AF2B0A" w:rsidRDefault="00F43A59" w:rsidP="00AF2B0A">
      <w:pPr>
        <w:pStyle w:val="Default"/>
        <w:spacing w:line="276" w:lineRule="auto"/>
        <w:ind w:firstLine="567"/>
        <w:jc w:val="both"/>
        <w:rPr>
          <w:rFonts w:ascii="Book Antiqua" w:hAnsi="Book Antiqua"/>
          <w:color w:val="auto"/>
        </w:rPr>
      </w:pPr>
      <w:r w:rsidRPr="00AF2B0A">
        <w:rPr>
          <w:rFonts w:ascii="Book Antiqua" w:hAnsi="Book Antiqua"/>
          <w:color w:val="auto"/>
        </w:rPr>
        <w:t>Maka, pada tanggal 18 November 1667, di sebuah desa bernama Bungaya, diadakan perundingan. Perundingan tersebut menghasilkan kesepakatan yang terkenal dalam sejarah Indonesia dengan nama “Perjanjian Bangarya” orang Belanda menyebutnya Het bongaais verdrag. Orang Makassar menyebutnya Cappaya ri Bungaya. Jadi nama yang benar adalah perjanjian bunga. Banyak penulis dan sejarawan Indonesia yang salah menuliskannya karena mengikuti kesalahan Belanda, kesalahan tersebut di atas bermula dari kesalahan yang dilakukan oleh Belanda yang salah mengucapkan kata bung</w:t>
      </w:r>
      <w:r w:rsidR="004570BF" w:rsidRPr="00AF2B0A">
        <w:rPr>
          <w:rFonts w:ascii="Book Antiqua" w:hAnsi="Book Antiqua"/>
          <w:color w:val="auto"/>
        </w:rPr>
        <w:t>a</w:t>
      </w:r>
      <w:r w:rsidRPr="00AF2B0A">
        <w:rPr>
          <w:rFonts w:ascii="Book Antiqua" w:hAnsi="Book Antiqua"/>
          <w:color w:val="auto"/>
        </w:rPr>
        <w:t>ya sebagai bongaya. Kata bungaya berasal dari bahasa Indonesia asli yaitu bunga. Kata ini mendapat imbuhan ya dan kemudian menjadi bungaya yang artinya de bloem, bunga. Afiks pada kata Makassar memiliki arti yang sama dengan kata bahasa Indonesia: si, sang atau yang. Bunga adalah bunga. Sampai sekarang desa ini masih ada, sekarang Bungaya adalah desa atau desa yang tidak ada artinya jika dibandingkan dengan posisinya pada abad ke-17.</w:t>
      </w:r>
      <w:r w:rsidRPr="00925BD6">
        <w:rPr>
          <w:rStyle w:val="FootnoteReference"/>
        </w:rPr>
        <w:footnoteReference w:id="5"/>
      </w:r>
    </w:p>
    <w:p w:rsidR="00F43A59" w:rsidRPr="00AF2B0A" w:rsidRDefault="00F43A59" w:rsidP="00CF4BEB">
      <w:pPr>
        <w:pStyle w:val="Default"/>
        <w:spacing w:line="276" w:lineRule="auto"/>
        <w:ind w:firstLine="720"/>
        <w:jc w:val="both"/>
        <w:rPr>
          <w:rFonts w:ascii="Book Antiqua" w:hAnsi="Book Antiqua"/>
          <w:color w:val="auto"/>
        </w:rPr>
      </w:pPr>
      <w:r w:rsidRPr="00AF2B0A">
        <w:rPr>
          <w:rFonts w:ascii="Book Antiqua" w:hAnsi="Book Antiqua"/>
          <w:color w:val="auto"/>
        </w:rPr>
        <w:t>Perjanjian Bungaya terdiri dari 30 pasal, butir-butir Perjanjian Bungaya sekarang menjadi 29 pasal, yaitu:</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Menyetujui perjanjian 19 Agustus dan 21 Desember 1660.</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lastRenderedPageBreak/>
        <w:t>Semua karena (pegawai) orang Eropa (Belanda) dan orang Belanda di Sombaopu yang menjadi tawanan atau melarikan diri ke kerajaan Gowa harus diserahkan kepada Kompeni Belanda.</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 xml:space="preserve"> Semua barang yang telah disita oleh pemerintah kerajaan Gowa yang berasal dari kapal-kapal Belanda yang kandas atau rusak harus diserahkan kepada Kompeni Belanda.</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Mereka yang bersalah melakukan pembunuhan orang Belanda dan mereka yang merusak kapal Belanda akan dihukum di hadapan penduduk Belanda di Jumpandang.</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Orang yang berhutang kepada Perseroan harus melunasi semua hutangnya dalam waktu satu tahun.</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Portugis dan Inggris harus meninggalkan Makassar sebelum akhir tahun. Sultan tidak boleh memperluas negara-negara Eropa lainnya untuk berdagang di kerajaannya, juga tidak boleh menerima duta besar dari mereka.</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Hanya Perusahaan yang diberikan hak untuk menjual pada titik akhir barang impor yang penting. Pelanggar hukum akan dihukum dan barang yang bersangkutan akan disita untuk kepentingan Perusahaan. Kain yang dibuat di wilayah pesisir timur Jawa tidak termasuk dalam larangan.</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Perusahaan bebas dari segala tugas dan kewajiban atas keluar masuknya barang.</w:t>
      </w:r>
    </w:p>
    <w:p w:rsidR="00F43A59" w:rsidRPr="00AF2B0A" w:rsidRDefault="00F43A59" w:rsidP="00CF4BEB">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Orang Makassar tidak diperbolehkan berlayar selain ke Bali, Jawa, Betawi, Banten, Jambi, Palembang, Johor dan Kalimantan yang harus memiliki paspor.</w:t>
      </w:r>
    </w:p>
    <w:p w:rsidR="002F05A9" w:rsidRDefault="00F43A59" w:rsidP="002F05A9">
      <w:pPr>
        <w:pStyle w:val="Default"/>
        <w:numPr>
          <w:ilvl w:val="0"/>
          <w:numId w:val="4"/>
        </w:numPr>
        <w:spacing w:line="276" w:lineRule="auto"/>
        <w:jc w:val="both"/>
        <w:rPr>
          <w:rFonts w:ascii="Book Antiqua" w:hAnsi="Book Antiqua"/>
          <w:color w:val="auto"/>
        </w:rPr>
      </w:pPr>
      <w:r w:rsidRPr="00AF2B0A">
        <w:rPr>
          <w:rFonts w:ascii="Book Antiqua" w:hAnsi="Book Antiqua"/>
          <w:color w:val="auto"/>
        </w:rPr>
        <w:t>Benteng Barombong, Pana'kukang, Garassi, Mariso dan lain-lain harus dirombak. Juga tidak boleh, di mana pun, benteng-benteng baru didirikan. Hanya benteng besar Sombaopu yang akan tersisa untuk kerajaan Gowa.</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Benteng Jumpandang bersama perkampungan dan tanah yang termasuk lingkungannya diserahkan kepada Kompeni. Loji Kompeni akan didirikan kembali.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Mata uang Belanda berlaku di Jumpandang.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Sultan kerajaan gowa akan membayar kepada Kompeni ongkos perang sebesar 250.000 ringgit, ditambah dengan denda yang terdiri dari 1000 orang budak laki-laki dan perempuan yang muda, sehat dan dewasa atau uang sejumlah harga dari budak-budak itu.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Kerajaan Gowa harus menyerahkan Bima dan daerah-daerah taklukkannya kepada Kompeni.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Raja Gowa akan berusaha menyerahkan raja Bima, raja Dompu, raja Tambora dan raja Sanggar yang semuanya telah mengadakan pembunuhan kepada </w:t>
      </w:r>
      <w:r w:rsidRPr="002F05A9">
        <w:rPr>
          <w:rFonts w:ascii="Book Antiqua" w:hAnsi="Book Antiqua"/>
        </w:rPr>
        <w:lastRenderedPageBreak/>
        <w:t>orang-orang Belanda di Bima. Juga Kara</w:t>
      </w:r>
      <w:r w:rsidR="002F05A9">
        <w:rPr>
          <w:rFonts w:ascii="Book Antiqua" w:hAnsi="Book Antiqua"/>
        </w:rPr>
        <w:t>e</w:t>
      </w:r>
      <w:r w:rsidRPr="002F05A9">
        <w:rPr>
          <w:rFonts w:ascii="Book Antiqua" w:hAnsi="Book Antiqua"/>
        </w:rPr>
        <w:t xml:space="preserve">ng Bontomarannu harus diserahkan kepada Kompeni.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Sultan harus melepaskan segala haknya atas Buton.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Sultan harus melepaskan segala haknya atas pulau-pulau Sula dan lain-lain pulau yang termasuk kekuasaan Ternate, seperti: Selayar, Muna dan seluruh daerah-daerah di pesisir timur Sulawesi, yaitu mulai dari Sanana sampai Manado, kepulauan Banggai, Gapi dan lain-lainnya yang terletak antara Mandar dan Manado, seperti Lambagi, Kaidipan, Buwol, Toli-Toli, Dampelas, Balaisang, Solengsak dan Kaili.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Pemerintah kerajaan Gowa harus melepaskan kekuasaannya atas kerajaan Bon</w:t>
      </w:r>
      <w:r w:rsidR="002F05A9">
        <w:rPr>
          <w:rFonts w:ascii="Book Antiqua" w:hAnsi="Book Antiqua"/>
        </w:rPr>
        <w:t>e</w:t>
      </w:r>
      <w:r w:rsidRPr="002F05A9">
        <w:rPr>
          <w:rFonts w:ascii="Book Antiqua" w:hAnsi="Book Antiqua"/>
        </w:rPr>
        <w:t xml:space="preserve"> dan kerajaan Luwu dan harus berjanji untuk memerdekakan Datu Sopp</w:t>
      </w:r>
      <w:r w:rsidR="002F05A9">
        <w:rPr>
          <w:rFonts w:ascii="Book Antiqua" w:hAnsi="Book Antiqua"/>
        </w:rPr>
        <w:t>e</w:t>
      </w:r>
      <w:r w:rsidRPr="002F05A9">
        <w:rPr>
          <w:rFonts w:ascii="Book Antiqua" w:hAnsi="Book Antiqua"/>
        </w:rPr>
        <w:t>ng dari pengasingannya.</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 xml:space="preserve">Pemerintah kerajaan Gowa selanjutnya akan mengakui raja Laiya dan Bangkala bersama seluruh Turatea dan Bajeng dan daerah taklukannya, yang kesemuanya sementara dalam peperangan telah datang kepada Kompeni, sebagai raja-raja yang bebas tanpa (penguasaan) atas mereka itu. </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Semua negeri yang dalam peperangan dikalahkan oleh Kompeni bersama sekutu-sekutunya, terhitung mulai Bulo-Bulo sampai Bungaya akan menjadi dan tetap sebagai negeri-negeri milik yang telah dimenangkan oleh Kompeni bersama sekutu-sekutunya menurut hukum perang, kemudian bilamana Arung Bakke dan Arung Appanang datang maka negeri-negeri tersebut akan diperlakukan sesuai dengan hak Kompeni atas daerah-daerah di sebelah utara Makassar.</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Pemerintah Kerajaan Gowa menyatakan akan melepaskan haknya atas Wajo, Bulo-Bulo, dan Mandar, yang semuanya dianggap jahat terhadap Kompeni dan sekutunya dan negara-negara tersebut akan diperlakukan oleh Kompeni dan sekutunya sesuai dengan kehendak Perusahaan.</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Pemerintah Kerajaan Gowa akan menutup negaranya dari negara lain. Jika pemerintah kerajaan Gowa tidak dapat menolak mereka untuk tetap terlihat, maka pemerintah kerajaan Gowa akan meminta bantuan Kompeni yang dia akui sebagai pelindungnya dengan kewajiban lebih lanjut, bahwa dia akan membantu Kompeni. melawan musuh Kompeni dan dia tidak akan mengadakan konsultasi dengan negara lain. negara yang sedang berperang dengan Belanda.</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Berdasarkan pasal-pasal di atas, Sultan dan para pejabat kerajaannya membuat perjanjian perdamaian, persahabatan dan aliansi, yang meliputi raja-raja Ternate, Tidore, Bacan, Buton, Bone, Soppeng, Luwu, Turatea. , beserta daerah taklukannya, serta Bima dengan para tuan tanah dan raja-raja yang kemudian diminta bergabung dengan aliansi ini.</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lastRenderedPageBreak/>
        <w:t>Perusahaan akan memutuskan dalam perselisihan di antara anggota Sekutu. Jika salah satu pihak menolak untuk mengindahkan perantara yang disediakan oleh Perusahaan, maka semua anggota mitra memberikan bantuan kepada yang lain.</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Dua orang terkemuka dari dewan pemerintah di Gowa akan pergi bersama Speelman ke Betawi untuk meminta persetujuan dari Gubernur Jenderal atas kesepakatan tersebut. Gubernur Jenderal, jika diinginkan, akan diperintahkan untuk tinggal di Betawi dengan jaminan dua putra Sultan.</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Untuk mewujudkan apa yang diatur dalam pasal 6, Perusahaan akan mengangkut orang-orang Inggris dan barang-barangnya ke Betawi.</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Untuk mewujudkan apa yang diatur dalam Pasal 15, jika dalam waktu sepuluh hari raja Bima Karaeng Bontomarannu tidak hadir dan Kompeni diserahkan, anak-anak mereka harus diserahkan kepada Kompeni.</w:t>
      </w:r>
    </w:p>
    <w:p w:rsidR="002F05A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Sultan berjanji akan membayar Kompeni 250.000 ringgit sebagai pembayaran biaya perang yang harus dilunasi dalam lima musim berturut-turut.</w:t>
      </w:r>
    </w:p>
    <w:p w:rsidR="00F43A59" w:rsidRPr="002F05A9" w:rsidRDefault="00F43A59" w:rsidP="002F05A9">
      <w:pPr>
        <w:pStyle w:val="Default"/>
        <w:numPr>
          <w:ilvl w:val="0"/>
          <w:numId w:val="4"/>
        </w:numPr>
        <w:spacing w:line="276" w:lineRule="auto"/>
        <w:jc w:val="both"/>
        <w:rPr>
          <w:rFonts w:ascii="Book Antiqua" w:hAnsi="Book Antiqua"/>
          <w:color w:val="auto"/>
        </w:rPr>
      </w:pPr>
      <w:r w:rsidRPr="002F05A9">
        <w:rPr>
          <w:rFonts w:ascii="Book Antiqua" w:hAnsi="Book Antiqua"/>
        </w:rPr>
        <w:t>Perjanjian ini ditandatangani dengan sumpah pada hari Jumat 18 November 1667 di Bungaya.</w:t>
      </w:r>
      <w:r w:rsidRPr="00925BD6">
        <w:rPr>
          <w:rStyle w:val="FootnoteReference"/>
        </w:rPr>
        <w:footnoteReference w:id="6"/>
      </w:r>
    </w:p>
    <w:p w:rsidR="00F43A59" w:rsidRPr="00AF2B0A" w:rsidRDefault="00F43A59" w:rsidP="00CF4BEB">
      <w:pPr>
        <w:spacing w:after="0"/>
        <w:jc w:val="both"/>
        <w:rPr>
          <w:rFonts w:ascii="Book Antiqua" w:hAnsi="Book Antiqua" w:cs="Times New Roman"/>
          <w:sz w:val="24"/>
          <w:szCs w:val="24"/>
          <w:lang w:val="en-US"/>
        </w:rPr>
      </w:pPr>
    </w:p>
    <w:p w:rsidR="00AF2B0A" w:rsidRPr="00AF2B0A" w:rsidRDefault="00F43A59" w:rsidP="00AF2B0A">
      <w:pPr>
        <w:pStyle w:val="ListParagraph"/>
        <w:numPr>
          <w:ilvl w:val="0"/>
          <w:numId w:val="9"/>
        </w:numPr>
        <w:spacing w:after="0"/>
        <w:ind w:left="426"/>
        <w:jc w:val="both"/>
        <w:rPr>
          <w:rFonts w:ascii="Book Antiqua" w:hAnsi="Book Antiqua" w:cs="Times New Roman"/>
          <w:b/>
          <w:sz w:val="24"/>
          <w:szCs w:val="24"/>
          <w:lang w:val="en-US"/>
        </w:rPr>
      </w:pPr>
      <w:r w:rsidRPr="00AF2B0A">
        <w:rPr>
          <w:rFonts w:ascii="Book Antiqua" w:hAnsi="Book Antiqua" w:cs="Times New Roman"/>
          <w:b/>
          <w:sz w:val="24"/>
          <w:szCs w:val="24"/>
        </w:rPr>
        <w:t>Eksitensi Umat Islam Pasca Perang Makassar</w:t>
      </w:r>
    </w:p>
    <w:p w:rsidR="00F43A59" w:rsidRPr="00AF2B0A" w:rsidRDefault="00F43A59" w:rsidP="00CF4BEB">
      <w:pPr>
        <w:pStyle w:val="ListParagraph"/>
        <w:numPr>
          <w:ilvl w:val="0"/>
          <w:numId w:val="3"/>
        </w:numPr>
        <w:spacing w:after="0"/>
        <w:jc w:val="both"/>
        <w:rPr>
          <w:rFonts w:ascii="Book Antiqua" w:hAnsi="Book Antiqua" w:cs="Times New Roman"/>
          <w:sz w:val="24"/>
          <w:szCs w:val="24"/>
        </w:rPr>
      </w:pPr>
      <w:r w:rsidRPr="00AF2B0A">
        <w:rPr>
          <w:rFonts w:ascii="Book Antiqua" w:hAnsi="Book Antiqua" w:cs="Times New Roman"/>
          <w:sz w:val="24"/>
          <w:szCs w:val="24"/>
        </w:rPr>
        <w:t>Supremasi VOC Belanda di Sulawesi Selatan</w:t>
      </w:r>
    </w:p>
    <w:p w:rsidR="00F43A59" w:rsidRPr="00AF2B0A" w:rsidRDefault="00F43A59" w:rsidP="00CF4BEB">
      <w:pPr>
        <w:ind w:firstLine="644"/>
        <w:jc w:val="both"/>
        <w:rPr>
          <w:rFonts w:ascii="Book Antiqua" w:hAnsi="Book Antiqua" w:cs="Times New Roman"/>
          <w:sz w:val="24"/>
          <w:szCs w:val="24"/>
        </w:rPr>
      </w:pPr>
      <w:r w:rsidRPr="00AF2B0A">
        <w:rPr>
          <w:rFonts w:ascii="Book Antiqua" w:hAnsi="Book Antiqua" w:cs="Times New Roman"/>
          <w:sz w:val="24"/>
          <w:szCs w:val="24"/>
        </w:rPr>
        <w:t>Setelah Kompeni Belanda meratakan dan meratakan tanah Benteng Sombaopu sebagai benteng terakhir perlawanan Kesultanan Makassar. Maka dikeluarkanlah kebijakan-kebijakan yang mendukung cengkeraman hegemoni Kompeni Belanda atas masyarakat dan kerajaan setempat. Hal itu diwujudkan melalui Perjanjian Bungaya yang menjadi sarana legitimasi hegemoni Kompeni Belanda bagi rakyat dan kerajaan-kerajaan di Sulawesi Selatan yang telah menerima Islam secara umum pada awal abad XVII Masehi. Nusantara, khususnya di Sulawesi Selatan. Perjanjian Bungaya dimaksudkan untuk mengakhiri Perang Makassar yang telah memakan banyak korban jiwa dan materi. Bahkan, sampai menimbulkan tragedi kemanusiaan, yakni tragedi laut Liwuto dan pembakaran Sombaopu dan Tosora.</w:t>
      </w:r>
    </w:p>
    <w:p w:rsidR="00F43A59" w:rsidRPr="00AF2B0A" w:rsidRDefault="00F43A59" w:rsidP="00CF4BEB">
      <w:pPr>
        <w:ind w:firstLine="644"/>
        <w:jc w:val="both"/>
        <w:rPr>
          <w:rFonts w:ascii="Book Antiqua" w:hAnsi="Book Antiqua" w:cs="Times New Roman"/>
          <w:sz w:val="24"/>
          <w:szCs w:val="24"/>
        </w:rPr>
      </w:pPr>
      <w:r w:rsidRPr="00AF2B0A">
        <w:rPr>
          <w:rFonts w:ascii="Book Antiqua" w:hAnsi="Book Antiqua" w:cs="Times New Roman"/>
          <w:sz w:val="24"/>
          <w:szCs w:val="24"/>
        </w:rPr>
        <w:t xml:space="preserve">Perang tersebut terjadi karena adanya persaingan kepentingan antara keduanya (Makassar-VOC) yang sama-sama ingin menguasai jalur perdagangan rempah-rempah di wilayah timur Nusantara. Sebelum Perang Makassar, jalur perdagangan rempah-rempah berada di bawah kendali Kesultanan Makassar yang berpusat di Sombaopu. Makassar yang menguasai jalur pelayaran dan perdagangan rempah-rempah di wilayah timur Nusantara sebagai akibat dari agama Islam yang dianutnya pada awal abad XVII M menganut sistem pelayaran dan perdagangan </w:t>
      </w:r>
      <w:r w:rsidRPr="00AF2B0A">
        <w:rPr>
          <w:rFonts w:ascii="Book Antiqua" w:hAnsi="Book Antiqua" w:cs="Times New Roman"/>
          <w:sz w:val="24"/>
          <w:szCs w:val="24"/>
        </w:rPr>
        <w:lastRenderedPageBreak/>
        <w:t>bebas bagi semua bangsa. kuda liberium). Dengan kebijakan ini, kota Makassar tampil sebagai kota yang banyak dikunjungi oleh negara-negara di dunia untuk berdagang. Pedagang Eropa yang ramai (Portugis,</w:t>
      </w:r>
      <w:r w:rsidRPr="00AF2B0A">
        <w:rPr>
          <w:rFonts w:ascii="Book Antiqua" w:hAnsi="Book Antiqua"/>
          <w:sz w:val="24"/>
          <w:szCs w:val="24"/>
        </w:rPr>
        <w:t xml:space="preserve"> </w:t>
      </w:r>
      <w:r w:rsidRPr="00AF2B0A">
        <w:rPr>
          <w:rFonts w:ascii="Book Antiqua" w:hAnsi="Book Antiqua" w:cs="Times New Roman"/>
          <w:sz w:val="24"/>
          <w:szCs w:val="24"/>
        </w:rPr>
        <w:t xml:space="preserve">Spanyol, Inggris, Denmark, dll.) Arab, India, Cina membuka kantor perwakilan perdagangan di Sombaopu. Kebijakan mare liberium berbeda dengan sistem yang dianut VOC yang menerapkan sistem monopoli pelayaran dan perdagangan; hanya Belanda yang mampu melakukan pelayaran dan perdagangan. Hal ini menjadi pemicu konflik yang berujung pada perang antara VOC yang kuat melawan Kesultanan Makassar yang tangguh yang berakhir dengan Perjanjian Bungaya yang tentunya sangat menguntungkan VOC dan sangat merugikan Makassar beserta rakyatnya. Melalui kesepakatan ini, VOC tampak memiliki hegemoni ekonomi dan politik di Sulawesi Selatan. Tarikat dan Perkembangan Mesianisme </w:t>
      </w:r>
    </w:p>
    <w:p w:rsidR="00F43A59" w:rsidRPr="00AF2B0A" w:rsidRDefault="00F43A59" w:rsidP="00CF4BEB">
      <w:pPr>
        <w:spacing w:after="0"/>
        <w:ind w:left="60" w:firstLine="360"/>
        <w:jc w:val="both"/>
        <w:rPr>
          <w:rFonts w:ascii="Book Antiqua" w:hAnsi="Book Antiqua" w:cs="Times New Roman"/>
          <w:sz w:val="24"/>
          <w:szCs w:val="24"/>
        </w:rPr>
      </w:pPr>
      <w:r w:rsidRPr="00AF2B0A">
        <w:rPr>
          <w:rFonts w:ascii="Book Antiqua" w:hAnsi="Book Antiqua" w:cs="Times New Roman"/>
          <w:sz w:val="24"/>
          <w:szCs w:val="24"/>
        </w:rPr>
        <w:t>Dengan demikian penetrasi kekuasaan Kompeni Belanda di Sulawesi Selatan pasca Perang Makassar semakin kuat. Dalam menghadapi pengaruh penetrasi Kompeni Belanda, sebagian masyarakat di Sulawesi Selatan memiliki cara-cara tersendiri untuk menanggapi kondisi tersebut. Respon ini tentunya diharapkan mampu mengembalikan kondisi ke keadaan semula atau memberikan ketenangan pikiran. Jenis-jenis respon terhadap hal tersebut adalah sebagai berikut: Pertama, gerakan aliran keagamaan yang berisi kegiatan-kegiatan yang bertujuan agar masyarakat lebih giat dalam menjalankan kewajiban agamanya (Islam). Mereka melepaskan diri dari ikatan duniawi yang terkait dengan kekuasaan dan Kompeni Belanda dengan memasuki dunia tarekat. Mereka mendiami wilayah yang berada di luar jangkauan formal penguasa Kompeni Belanda dengan membentuk ikatan persaudaraan spiritual dalam berbagai ritual.</w:t>
      </w:r>
    </w:p>
    <w:p w:rsidR="00F43A59" w:rsidRPr="00AF2B0A" w:rsidRDefault="00F43A59" w:rsidP="00CF4BEB">
      <w:pPr>
        <w:spacing w:after="0"/>
        <w:ind w:left="60" w:firstLine="360"/>
        <w:jc w:val="both"/>
        <w:rPr>
          <w:rFonts w:ascii="Book Antiqua" w:hAnsi="Book Antiqua" w:cs="Times New Roman"/>
          <w:sz w:val="24"/>
          <w:szCs w:val="24"/>
        </w:rPr>
      </w:pPr>
      <w:r w:rsidRPr="00AF2B0A">
        <w:rPr>
          <w:rFonts w:ascii="Book Antiqua" w:hAnsi="Book Antiqua" w:cs="Times New Roman"/>
          <w:sz w:val="24"/>
          <w:szCs w:val="24"/>
        </w:rPr>
        <w:t>Menurut Mukhlis Paeni, hal ini mendorong berkembangnya berbagai tradisi di Sulawesi Selatan. Sehingga tarekat Naksabandiah, Halwatiyah, dan Syatariyah serta ajaran wajudiah menyebar ke pelosok desa di pedalaman Makassar, di Sanrobone, Sorabaya, Laguruda, Gal</w:t>
      </w:r>
      <w:r w:rsidR="002F05A9">
        <w:rPr>
          <w:rFonts w:ascii="Book Antiqua" w:hAnsi="Book Antiqua" w:cs="Times New Roman"/>
          <w:sz w:val="24"/>
          <w:szCs w:val="24"/>
        </w:rPr>
        <w:t>e</w:t>
      </w:r>
      <w:r w:rsidRPr="00AF2B0A">
        <w:rPr>
          <w:rFonts w:ascii="Book Antiqua" w:hAnsi="Book Antiqua" w:cs="Times New Roman"/>
          <w:sz w:val="24"/>
          <w:szCs w:val="24"/>
        </w:rPr>
        <w:t>song, B</w:t>
      </w:r>
      <w:r w:rsidR="002F05A9">
        <w:rPr>
          <w:rFonts w:ascii="Book Antiqua" w:hAnsi="Book Antiqua" w:cs="Times New Roman"/>
          <w:sz w:val="24"/>
          <w:szCs w:val="24"/>
        </w:rPr>
        <w:t>e</w:t>
      </w:r>
      <w:r w:rsidRPr="00AF2B0A">
        <w:rPr>
          <w:rFonts w:ascii="Book Antiqua" w:hAnsi="Book Antiqua" w:cs="Times New Roman"/>
          <w:sz w:val="24"/>
          <w:szCs w:val="24"/>
        </w:rPr>
        <w:t>ba, Batang Kaluku, Patani, Garassi, Bontoje'ne, Lanna,dan lain-lain.</w:t>
      </w:r>
      <w:r w:rsidRPr="00925BD6">
        <w:rPr>
          <w:rStyle w:val="FootnoteReference"/>
        </w:rPr>
        <w:footnoteReference w:id="7"/>
      </w:r>
      <w:r w:rsidRPr="00AF2B0A">
        <w:rPr>
          <w:rFonts w:ascii="Book Antiqua" w:hAnsi="Book Antiqua" w:cs="Times New Roman"/>
          <w:sz w:val="24"/>
          <w:szCs w:val="24"/>
        </w:rPr>
        <w:t xml:space="preserve"> Jadi, masyarakat setempat secara spiritual masuk dan bersembunyi dalam praktik tarekat, menghindari hiruk pikuk yang terkait dengan politik. Hal seperti ini dapat ditemukan pada kelompok Murjia'ah dalam sejarah pemikiran Islam. Kelompok Murjia'ah adalah kelompok yang tidak ingin melibatkan diri dalam konflik yang terjadi antara kelompok pendukung Syi'ah, Khawarij dan Mua'waiyah dari Bani Umayyah.</w:t>
      </w:r>
      <w:r w:rsidRPr="00925BD6">
        <w:rPr>
          <w:rStyle w:val="FootnoteReference"/>
        </w:rPr>
        <w:footnoteReference w:id="8"/>
      </w:r>
      <w:r w:rsidRPr="00AF2B0A">
        <w:rPr>
          <w:rFonts w:ascii="Book Antiqua" w:hAnsi="Book Antiqua"/>
          <w:sz w:val="24"/>
          <w:szCs w:val="24"/>
        </w:rPr>
        <w:t xml:space="preserve"> </w:t>
      </w:r>
      <w:r w:rsidRPr="00AF2B0A">
        <w:rPr>
          <w:rFonts w:ascii="Book Antiqua" w:hAnsi="Book Antiqua" w:cs="Times New Roman"/>
          <w:sz w:val="24"/>
          <w:szCs w:val="24"/>
        </w:rPr>
        <w:t xml:space="preserve">Konflik tersebut awalnya persoalan kepemimpinan (politik) dan pada akhirnya merembes ke ranah agama. Murjia'ah </w:t>
      </w:r>
      <w:r w:rsidRPr="00AF2B0A">
        <w:rPr>
          <w:rFonts w:ascii="Book Antiqua" w:hAnsi="Book Antiqua" w:cs="Times New Roman"/>
          <w:sz w:val="24"/>
          <w:szCs w:val="24"/>
        </w:rPr>
        <w:lastRenderedPageBreak/>
        <w:t>tentu saja tidak mau terlibat kekafiran dengan sesama muslim, apalagi terlibat dalam kehidupan politik.</w:t>
      </w:r>
    </w:p>
    <w:p w:rsidR="00F43A59" w:rsidRPr="00AF2B0A" w:rsidRDefault="00F43A59" w:rsidP="00CF4BEB">
      <w:pPr>
        <w:spacing w:after="0"/>
        <w:ind w:left="60" w:firstLine="360"/>
        <w:jc w:val="both"/>
        <w:rPr>
          <w:rFonts w:ascii="Book Antiqua" w:hAnsi="Book Antiqua" w:cs="Times New Roman"/>
          <w:sz w:val="24"/>
          <w:szCs w:val="24"/>
          <w:lang w:val="en-US"/>
        </w:rPr>
      </w:pPr>
      <w:r w:rsidRPr="00AF2B0A">
        <w:rPr>
          <w:rFonts w:ascii="Book Antiqua" w:hAnsi="Book Antiqua" w:cs="Times New Roman"/>
          <w:sz w:val="24"/>
          <w:szCs w:val="24"/>
        </w:rPr>
        <w:t xml:space="preserve"> Setelah Makassar pada khususnya dan Sulawesi Selatan pada umumnya berada di bawah kendali politik penguasa Belanda yang selalu berusaha menempatkan Belanda sebagai satu-satunya ketuhanan di Sulawesi Selatan karena kondisi masyarakat Sulawesi Selatan menjadi lemah. Hal ini menyebabkan beberapa orang yang memiliki kemampuan bergerak melakukan eksodus ke luar daerah. Para ulama dan cendekiawan berusaha mencari tempat yang aman untuk melanjutkan dan mempertahankan aktivitas mereka. Ajaran atau pengetahuan agama Islam diteruskan di tempat yang aman atau terpencil. Pendidikan agama Islam pada umumnya lebih banyak pada aspek mistik atau tarekat yang banyak diminati oleh kaum muda atau bangsawan.</w:t>
      </w:r>
      <w:r w:rsidRPr="00925BD6">
        <w:rPr>
          <w:rStyle w:val="FootnoteReference"/>
        </w:rPr>
        <w:footnoteReference w:id="9"/>
      </w:r>
    </w:p>
    <w:p w:rsidR="00F43A59" w:rsidRDefault="00F43A59" w:rsidP="00CF4BEB">
      <w:pPr>
        <w:spacing w:after="0"/>
        <w:ind w:left="60" w:firstLine="584"/>
        <w:jc w:val="both"/>
        <w:rPr>
          <w:rFonts w:ascii="Book Antiqua" w:hAnsi="Book Antiqua" w:cstheme="majorBidi"/>
          <w:sz w:val="24"/>
          <w:szCs w:val="24"/>
          <w:lang w:val="en-US"/>
        </w:rPr>
      </w:pPr>
      <w:r w:rsidRPr="00AF2B0A">
        <w:rPr>
          <w:rFonts w:ascii="Book Antiqua" w:hAnsi="Book Antiqua" w:cstheme="majorBidi"/>
          <w:sz w:val="24"/>
          <w:szCs w:val="24"/>
          <w:lang w:val="en-US"/>
        </w:rPr>
        <w:t xml:space="preserve">Pelarian mereka ke pendalaman ilmu kebatinan atau kebatinan di pelosok dapat dipahami sebagai respon umat Islam terhadap kemunduran eksistensi mereka pasca Perang Makassar. Umat </w:t>
      </w:r>
      <w:r w:rsidRPr="00AF2B0A">
        <w:rPr>
          <w:rFonts w:ascii="Times New Roman" w:hAnsi="Times New Roman" w:cs="Times New Roman"/>
          <w:sz w:val="24"/>
          <w:szCs w:val="24"/>
          <w:lang w:val="en-US"/>
        </w:rPr>
        <w:t>​​</w:t>
      </w:r>
      <w:r w:rsidRPr="00AF2B0A">
        <w:rPr>
          <w:rFonts w:ascii="Book Antiqua" w:hAnsi="Book Antiqua" w:cstheme="majorBidi"/>
          <w:sz w:val="24"/>
          <w:szCs w:val="24"/>
          <w:lang w:val="en-US"/>
        </w:rPr>
        <w:t>Islam Sulawesi Selatan ingin mencari kedamaian melalui pendalaman tarekat atau kebatinan Islam dari keterpurukan mereka dari dominasi politik Kompeni Belanda di Sulawesi Selatan.</w:t>
      </w:r>
    </w:p>
    <w:p w:rsidR="00AF2B0A" w:rsidRPr="00AF2B0A" w:rsidRDefault="00AF2B0A" w:rsidP="00CF4BEB">
      <w:pPr>
        <w:spacing w:after="0"/>
        <w:ind w:left="60" w:firstLine="584"/>
        <w:jc w:val="both"/>
        <w:rPr>
          <w:rFonts w:ascii="Book Antiqua" w:hAnsi="Book Antiqua" w:cstheme="majorBidi"/>
          <w:sz w:val="24"/>
          <w:szCs w:val="24"/>
          <w:lang w:val="en-US"/>
        </w:rPr>
      </w:pPr>
    </w:p>
    <w:p w:rsidR="00F43A59" w:rsidRPr="00AF2B0A" w:rsidRDefault="00F43A59" w:rsidP="00CF4BEB">
      <w:pPr>
        <w:pStyle w:val="ListParagraph"/>
        <w:numPr>
          <w:ilvl w:val="0"/>
          <w:numId w:val="3"/>
        </w:numPr>
        <w:spacing w:after="0"/>
        <w:jc w:val="both"/>
        <w:rPr>
          <w:rFonts w:ascii="Book Antiqua" w:hAnsi="Book Antiqua" w:cs="Times New Roman"/>
          <w:sz w:val="24"/>
          <w:szCs w:val="24"/>
        </w:rPr>
      </w:pPr>
      <w:r w:rsidRPr="00AF2B0A">
        <w:rPr>
          <w:rFonts w:ascii="Book Antiqua" w:hAnsi="Book Antiqua" w:cs="Times New Roman"/>
          <w:sz w:val="24"/>
          <w:szCs w:val="24"/>
        </w:rPr>
        <w:t>Migrasi Keluar Daerah</w:t>
      </w:r>
    </w:p>
    <w:p w:rsidR="00F43A59" w:rsidRPr="00AF2B0A" w:rsidRDefault="00F43A59" w:rsidP="00CF4BEB">
      <w:pPr>
        <w:spacing w:after="0"/>
        <w:ind w:firstLine="644"/>
        <w:jc w:val="both"/>
        <w:rPr>
          <w:rFonts w:ascii="Book Antiqua" w:hAnsi="Book Antiqua" w:cs="Times New Roman"/>
          <w:sz w:val="24"/>
          <w:szCs w:val="24"/>
          <w:lang w:val="en-US"/>
        </w:rPr>
      </w:pPr>
      <w:r w:rsidRPr="00AF2B0A">
        <w:rPr>
          <w:rFonts w:ascii="Book Antiqua" w:hAnsi="Book Antiqua" w:cs="Times New Roman"/>
          <w:sz w:val="24"/>
          <w:szCs w:val="24"/>
          <w:lang w:val="en-US"/>
        </w:rPr>
        <w:t>Kemenangan VOC atas Makassar menyebabkan arus pengungsi yang luar biasa dari wilayah Sulawesi Selatan. Leonard Y. Andaya menggambarkan hal ini sebagai berikut: Kelompok-kelompok yang bermigrasi sering kali sangat banyak sehingga armada mereka menyerupai kota terapung. Jumlah dan mobilitas pengungsi di Nusantara dipandang sebagai unsur ketidakstabilan di kawasan.</w:t>
      </w:r>
      <w:r w:rsidRPr="00925BD6">
        <w:rPr>
          <w:rStyle w:val="FootnoteReference"/>
        </w:rPr>
        <w:footnoteReference w:id="10"/>
      </w:r>
    </w:p>
    <w:p w:rsidR="00F43A59" w:rsidRPr="00AF2B0A" w:rsidRDefault="00F43A59" w:rsidP="00CF4BEB">
      <w:pPr>
        <w:spacing w:after="0"/>
        <w:ind w:firstLine="420"/>
        <w:jc w:val="both"/>
        <w:rPr>
          <w:rFonts w:ascii="Book Antiqua" w:hAnsi="Book Antiqua" w:cs="Times New Roman"/>
          <w:sz w:val="24"/>
          <w:szCs w:val="24"/>
          <w:lang w:val="en-US"/>
        </w:rPr>
      </w:pPr>
      <w:r w:rsidRPr="00AF2B0A">
        <w:rPr>
          <w:rFonts w:ascii="Book Antiqua" w:hAnsi="Book Antiqua" w:cs="Times New Roman"/>
          <w:sz w:val="24"/>
          <w:szCs w:val="24"/>
          <w:lang w:val="en-US"/>
        </w:rPr>
        <w:t>Setelah Sombaopu hancur pada tahun 1669 M, Kompeni Belanda Arung Pakakka juga menghancurkan Tosora dan sekitarnya, pusat pemerintahan Kerajaan Wajo yang mengakibatkan tewasnya Arung Matowa Wajo La Tenri Lai Tosengngeng. Hal ini tentu saja menambah pertumbuhan arus masyarakat Sulawesi Selatan keluar daerah ke berbagai daerah di Nusantara.</w:t>
      </w:r>
    </w:p>
    <w:p w:rsidR="00F43A59" w:rsidRPr="00AF2B0A" w:rsidRDefault="00F43A59" w:rsidP="00CF4BEB">
      <w:pPr>
        <w:spacing w:after="0"/>
        <w:ind w:firstLine="420"/>
        <w:jc w:val="both"/>
        <w:rPr>
          <w:rFonts w:ascii="Book Antiqua" w:hAnsi="Book Antiqua" w:cs="Times New Roman"/>
          <w:sz w:val="24"/>
          <w:szCs w:val="24"/>
          <w:lang w:val="en-US"/>
        </w:rPr>
      </w:pPr>
      <w:r w:rsidRPr="00AF2B0A">
        <w:rPr>
          <w:rFonts w:ascii="Book Antiqua" w:hAnsi="Book Antiqua" w:cs="Times New Roman"/>
          <w:sz w:val="24"/>
          <w:szCs w:val="24"/>
          <w:lang w:val="en-US"/>
        </w:rPr>
        <w:t>Meninggalkan tanah air untuk mendapatkan kebebasan dari pemerintahan yang menindas atau kurangnya kepedulian terhadap kesejahteraan rakyat merupakan hal yang lumrah di masyarakat Sulawesi Selatan. Hal semacam ini dalam masyarakat Sulawesi Selatan disebut mall</w:t>
      </w:r>
      <w:r w:rsidR="002F05A9">
        <w:rPr>
          <w:rFonts w:ascii="Book Antiqua" w:hAnsi="Book Antiqua" w:cs="Times New Roman"/>
          <w:sz w:val="24"/>
          <w:szCs w:val="24"/>
          <w:lang w:val="en-US"/>
        </w:rPr>
        <w:t>e</w:t>
      </w:r>
      <w:r w:rsidRPr="00AF2B0A">
        <w:rPr>
          <w:rFonts w:ascii="Book Antiqua" w:hAnsi="Book Antiqua" w:cs="Times New Roman"/>
          <w:sz w:val="24"/>
          <w:szCs w:val="24"/>
          <w:lang w:val="en-US"/>
        </w:rPr>
        <w:t>kk</w:t>
      </w:r>
      <w:r w:rsidR="002F05A9">
        <w:rPr>
          <w:rFonts w:ascii="Book Antiqua" w:hAnsi="Book Antiqua" w:cs="Times New Roman"/>
          <w:sz w:val="24"/>
          <w:szCs w:val="24"/>
          <w:lang w:val="en-US"/>
        </w:rPr>
        <w:t>e</w:t>
      </w:r>
      <w:r w:rsidRPr="00AF2B0A">
        <w:rPr>
          <w:rFonts w:ascii="Book Antiqua" w:hAnsi="Book Antiqua" w:cs="Times New Roman"/>
          <w:sz w:val="24"/>
          <w:szCs w:val="24"/>
          <w:lang w:val="en-US"/>
        </w:rPr>
        <w:t xml:space="preserve"> kitcheneng (bersembunyi di dapur). Di antara para pengungsi yang bertekad untuk terus melawan VOC Belanda dan tidak mengakui Perjanjian Bungaya adalah kelompok yang dipimpin oleh Kara</w:t>
      </w:r>
      <w:r w:rsidR="002F05A9">
        <w:rPr>
          <w:rFonts w:ascii="Book Antiqua" w:hAnsi="Book Antiqua" w:cs="Times New Roman"/>
          <w:sz w:val="24"/>
          <w:szCs w:val="24"/>
          <w:lang w:val="en-US"/>
        </w:rPr>
        <w:t>e</w:t>
      </w:r>
      <w:r w:rsidRPr="00AF2B0A">
        <w:rPr>
          <w:rFonts w:ascii="Book Antiqua" w:hAnsi="Book Antiqua" w:cs="Times New Roman"/>
          <w:sz w:val="24"/>
          <w:szCs w:val="24"/>
          <w:lang w:val="en-US"/>
        </w:rPr>
        <w:t>ng Tallo; S</w:t>
      </w:r>
      <w:r w:rsidR="00661A5F">
        <w:rPr>
          <w:rFonts w:ascii="Book Antiqua" w:hAnsi="Book Antiqua" w:cs="Times New Roman"/>
          <w:sz w:val="24"/>
          <w:szCs w:val="24"/>
          <w:lang w:val="en-US"/>
        </w:rPr>
        <w:t>ultan Abdul Rasyid, Karaeng Gale</w:t>
      </w:r>
      <w:r w:rsidRPr="00AF2B0A">
        <w:rPr>
          <w:rFonts w:ascii="Book Antiqua" w:hAnsi="Book Antiqua" w:cs="Times New Roman"/>
          <w:sz w:val="24"/>
          <w:szCs w:val="24"/>
          <w:lang w:val="en-US"/>
        </w:rPr>
        <w:t>song; putra Sultan Hasanuddin, Kara</w:t>
      </w:r>
      <w:r w:rsidR="002F05A9">
        <w:rPr>
          <w:rFonts w:ascii="Book Antiqua" w:hAnsi="Book Antiqua" w:cs="Times New Roman"/>
          <w:sz w:val="24"/>
          <w:szCs w:val="24"/>
          <w:lang w:val="en-US"/>
        </w:rPr>
        <w:t>e</w:t>
      </w:r>
      <w:r w:rsidRPr="00AF2B0A">
        <w:rPr>
          <w:rFonts w:ascii="Book Antiqua" w:hAnsi="Book Antiqua" w:cs="Times New Roman"/>
          <w:sz w:val="24"/>
          <w:szCs w:val="24"/>
          <w:lang w:val="en-US"/>
        </w:rPr>
        <w:t xml:space="preserve">ng </w:t>
      </w:r>
      <w:r w:rsidRPr="00AF2B0A">
        <w:rPr>
          <w:rFonts w:ascii="Book Antiqua" w:hAnsi="Book Antiqua" w:cs="Times New Roman"/>
          <w:sz w:val="24"/>
          <w:szCs w:val="24"/>
          <w:lang w:val="en-US"/>
        </w:rPr>
        <w:lastRenderedPageBreak/>
        <w:t>Bontomarannu; tumab bicara butta Gowa. Mereka meninggalkan Sulawesi untuk membantu kesultanan Banten yang memiliki hubungan kurang baik dengan VOC Belanda.</w:t>
      </w:r>
    </w:p>
    <w:p w:rsidR="00F43A59" w:rsidRPr="00AF2B0A" w:rsidRDefault="00F43A59" w:rsidP="00CF4BEB">
      <w:pPr>
        <w:spacing w:after="0"/>
        <w:ind w:firstLine="426"/>
        <w:jc w:val="both"/>
        <w:rPr>
          <w:rFonts w:ascii="Book Antiqua" w:hAnsi="Book Antiqua" w:cs="Times New Roman"/>
          <w:sz w:val="24"/>
          <w:szCs w:val="24"/>
          <w:lang w:val="en-US"/>
        </w:rPr>
      </w:pPr>
      <w:r w:rsidRPr="00AF2B0A">
        <w:rPr>
          <w:rFonts w:ascii="Book Antiqua" w:hAnsi="Book Antiqua" w:cs="Times New Roman"/>
          <w:sz w:val="24"/>
          <w:szCs w:val="24"/>
          <w:lang w:val="en-US"/>
        </w:rPr>
        <w:t>Namun motivasi lain bagi masyarakat Bugis-Makassar untuk meninggalkan daerah tersebut tentunya juga dilatarbelakangi oleh keinginan untuk memperbaiki nasibnya. Semangat untuk memperbaiki nasib diri dan negara bagi masyarakat Sulawesi Selatan merupakan panggilan jiwa yang dalam budaya masyarakat setempat disebut siri'. Hal ini sejalan dengan pendapat Abu Haif dalam penelitian yang menyertainya bahwa; Orang Bugis-Makassar selalu berusaha mencari tempat yang dianggap cocok untuk dirinya tinggal, bekerja, bersosialisasi, dan sebagainya. Motivasi migrasi yang dilakukan masyarakat Sulawesi Selatan juga dilatarbelakangi oleh budaya siri; yang menjadi jalan hidup mereka.</w:t>
      </w:r>
      <w:r w:rsidRPr="00925BD6">
        <w:rPr>
          <w:rStyle w:val="FootnoteReference"/>
        </w:rPr>
        <w:footnoteReference w:id="11"/>
      </w:r>
    </w:p>
    <w:p w:rsidR="00AF2B0A" w:rsidRDefault="00AF2B0A" w:rsidP="00AF2B0A">
      <w:pPr>
        <w:spacing w:after="0"/>
        <w:jc w:val="both"/>
        <w:rPr>
          <w:rFonts w:ascii="Book Antiqua" w:hAnsi="Book Antiqua" w:cs="Times New Roman"/>
          <w:b/>
          <w:i/>
          <w:sz w:val="24"/>
          <w:szCs w:val="24"/>
          <w:lang w:val="en-US"/>
        </w:rPr>
      </w:pPr>
    </w:p>
    <w:p w:rsidR="00AF2B0A" w:rsidRPr="00AF2B0A" w:rsidRDefault="00F43A59" w:rsidP="00AF2B0A">
      <w:pPr>
        <w:pStyle w:val="ListParagraph"/>
        <w:numPr>
          <w:ilvl w:val="0"/>
          <w:numId w:val="9"/>
        </w:numPr>
        <w:spacing w:after="0"/>
        <w:ind w:left="426"/>
        <w:jc w:val="both"/>
        <w:rPr>
          <w:rFonts w:ascii="Book Antiqua" w:hAnsi="Book Antiqua" w:cs="Times New Roman"/>
          <w:b/>
          <w:sz w:val="24"/>
          <w:szCs w:val="24"/>
          <w:lang w:val="en-US"/>
        </w:rPr>
      </w:pPr>
      <w:r w:rsidRPr="00AF2B0A">
        <w:rPr>
          <w:rFonts w:ascii="Book Antiqua" w:hAnsi="Book Antiqua" w:cs="Times New Roman"/>
          <w:b/>
          <w:sz w:val="24"/>
          <w:szCs w:val="24"/>
        </w:rPr>
        <w:t>Dampak  Pasca  Penjanjian Bongaya</w:t>
      </w:r>
    </w:p>
    <w:p w:rsidR="00F43A59" w:rsidRPr="00AF2B0A" w:rsidRDefault="00F43A59" w:rsidP="00CF4BEB">
      <w:pPr>
        <w:pStyle w:val="ListParagraph"/>
        <w:spacing w:after="0"/>
        <w:ind w:left="0" w:firstLine="426"/>
        <w:jc w:val="both"/>
        <w:rPr>
          <w:rFonts w:ascii="Book Antiqua" w:hAnsi="Book Antiqua" w:cs="Times New Roman"/>
          <w:bCs/>
          <w:iCs/>
          <w:sz w:val="24"/>
          <w:szCs w:val="24"/>
          <w:lang w:val="en-US"/>
        </w:rPr>
      </w:pPr>
      <w:r w:rsidRPr="00AF2B0A">
        <w:rPr>
          <w:rFonts w:ascii="Book Antiqua" w:hAnsi="Book Antiqua" w:cs="Times New Roman"/>
          <w:bCs/>
          <w:iCs/>
          <w:sz w:val="24"/>
          <w:szCs w:val="24"/>
          <w:lang w:val="en-US"/>
        </w:rPr>
        <w:t>Pada akhirnya perang memang berlanjut lagi, perlawanan terhadap VOC dipelopori oleh Karaeng Karunrung yang sejak awal membenci VOC dengan terus mendesak Sultan Hasanudin untuk melanjutkan perang dengan Belanda. 12 April 1668 pecah perang untuk kesekian kalinya antara VOC pimpinan Speelman dan G</w:t>
      </w:r>
      <w:r w:rsidR="004570BF" w:rsidRPr="00AF2B0A">
        <w:rPr>
          <w:rFonts w:ascii="Book Antiqua" w:hAnsi="Book Antiqua" w:cs="Times New Roman"/>
          <w:bCs/>
          <w:iCs/>
          <w:sz w:val="24"/>
          <w:szCs w:val="24"/>
          <w:lang w:val="en-US"/>
        </w:rPr>
        <w:t>w</w:t>
      </w:r>
      <w:r w:rsidRPr="00AF2B0A">
        <w:rPr>
          <w:rFonts w:ascii="Book Antiqua" w:hAnsi="Book Antiqua" w:cs="Times New Roman"/>
          <w:bCs/>
          <w:iCs/>
          <w:sz w:val="24"/>
          <w:szCs w:val="24"/>
          <w:lang w:val="en-US"/>
        </w:rPr>
        <w:t>oa pimpinan Sultan Hasanudin. Bahkan perang yang pecah setelah perjanjian Bungaya lebih besar. Di antara kedua belah pihak jatuh korban yang tidak sedikit jumlahnya. Bahkan Arung Palaka sendiri terluka dalam pertempuran ini. Dalam laporan yang dikirim Speelman kepada pemerintah VOC di Batavia, Sultan Hasanudin menggunakan peluru beracun. Bahkan luka ringan yang diderita pasukannya pun sulit untuk disembuhkan. Bahkan Speelman yang selalu dipuji dengan berani dalam laporannya mengungkapkan kecemasan dan kejengkelannya.</w:t>
      </w:r>
      <w:r w:rsidRPr="00925BD6">
        <w:rPr>
          <w:rStyle w:val="FootnoteReference"/>
        </w:rPr>
        <w:footnoteReference w:id="12"/>
      </w:r>
    </w:p>
    <w:p w:rsidR="00F43A59" w:rsidRPr="00AF2B0A" w:rsidRDefault="00F43A59" w:rsidP="00AF2B0A">
      <w:pPr>
        <w:spacing w:after="0"/>
        <w:ind w:firstLine="567"/>
        <w:jc w:val="both"/>
        <w:rPr>
          <w:rFonts w:ascii="Book Antiqua" w:hAnsi="Book Antiqua" w:cs="Times New Roman"/>
          <w:sz w:val="24"/>
          <w:szCs w:val="24"/>
          <w:lang w:val="en-US"/>
        </w:rPr>
      </w:pPr>
      <w:r w:rsidRPr="00AF2B0A">
        <w:rPr>
          <w:rFonts w:ascii="Book Antiqua" w:hAnsi="Book Antiqua" w:cs="Times New Roman"/>
          <w:sz w:val="24"/>
          <w:szCs w:val="24"/>
          <w:lang w:val="en-US"/>
        </w:rPr>
        <w:t xml:space="preserve">Dari sekian banyak pasukan VOC yang bersama Speelman berangkat dari Batavia pada tanggal 24 November 1667, dapat dikatakan bahwa tidak ada lagi yang bertempur dalam pertempuran terakhir ini. Dalam salah satu surat Speelman kepada pimpinan VOC di Batavia meminta agar pimpinan VOC di Batavia segera mengirimkan bala bantuan yang cukup untuk dapat memberikan pukulan terakhir kepada Kerajaan Gowa dan menjamin perdamaian mutlak, bahkan dalam suratnya Speelman menegaskan bahwa VOC kepemimpinan harus lebih memperhatikan Kerajaan Gowa di Batavia. Sulawesi Selatan sebagai pusat kekuasaan di wilayah timur Sri Lanka dan Malabar, Speelman mengetahui betul situasi kedua wilayah tersebut karena sebelumnya Speelman adalah gubernur wilayah tersebut. Setelah mendapat bala bantuan dari Batavia dan merasa kuat, VOC bertindak keras. Pada </w:t>
      </w:r>
      <w:r w:rsidRPr="00AF2B0A">
        <w:rPr>
          <w:rFonts w:ascii="Book Antiqua" w:hAnsi="Book Antiqua" w:cs="Times New Roman"/>
          <w:sz w:val="24"/>
          <w:szCs w:val="24"/>
          <w:lang w:val="en-US"/>
        </w:rPr>
        <w:lastRenderedPageBreak/>
        <w:t>bulan April 1669 pasukan Belanda melakukan serangan secara teratur dan berulang-ulang. Semakin lama Belanda mendekat ke Benteng Sumbaopu, suasana pertempuran semakin meningkat.</w:t>
      </w:r>
      <w:r w:rsidRPr="00925BD6">
        <w:rPr>
          <w:rStyle w:val="FootnoteReference"/>
        </w:rPr>
        <w:footnoteReference w:id="13"/>
      </w:r>
      <w:r w:rsidRPr="00AF2B0A">
        <w:rPr>
          <w:rFonts w:ascii="Book Antiqua" w:hAnsi="Book Antiqua"/>
          <w:sz w:val="24"/>
          <w:szCs w:val="24"/>
        </w:rPr>
        <w:t xml:space="preserve"> </w:t>
      </w:r>
      <w:r w:rsidRPr="00AF2B0A">
        <w:rPr>
          <w:rFonts w:ascii="Book Antiqua" w:hAnsi="Book Antiqua" w:cs="Times New Roman"/>
          <w:sz w:val="24"/>
          <w:szCs w:val="24"/>
          <w:lang w:val="en-US"/>
        </w:rPr>
        <w:t>24 Juni 1669, benteng utama dan benteng Kerajaan Gowa jatuh ke tangan Blanda. Benteng Sumbaopu jatuh terhormat setelah pahlawan Gowa di bawah kepemimpinan Sultan Hasanudin melawan begitu gigih.</w:t>
      </w:r>
      <w:r w:rsidRPr="00925BD6">
        <w:rPr>
          <w:rStyle w:val="FootnoteReference"/>
        </w:rPr>
        <w:footnoteReference w:id="14"/>
      </w:r>
    </w:p>
    <w:p w:rsidR="00F43A59" w:rsidRPr="00AF2B0A" w:rsidRDefault="00F43A59" w:rsidP="00AF2B0A">
      <w:pPr>
        <w:pStyle w:val="Default"/>
        <w:spacing w:line="276" w:lineRule="auto"/>
        <w:ind w:firstLine="567"/>
        <w:jc w:val="both"/>
        <w:rPr>
          <w:rFonts w:ascii="Book Antiqua" w:hAnsi="Book Antiqua"/>
          <w:color w:val="auto"/>
        </w:rPr>
      </w:pPr>
      <w:r w:rsidRPr="00AF2B0A">
        <w:rPr>
          <w:rFonts w:ascii="Book Antiqua" w:hAnsi="Book Antiqua"/>
          <w:color w:val="auto"/>
        </w:rPr>
        <w:t>Khawatir pemerintahan Gowa akan bangkit kembali, Belanda menghancurkan Benteng Sumbaopu hingga rata dengan tanah. Benteng Sumbaopu merupakan benteng dengan dinding atau lapisan dinding di sekelilingnya, karena istana Raja di dalamnya juga dilindungi oleh dua tembok yang berkelok-kelok. Demikian pula rumah dan bangunan dilindungi oleh tembok atau tembok cincin yang dalam keadaan darurat dapat dijadikan sebagai benteng pertahanan.</w:t>
      </w:r>
      <w:r w:rsidRPr="00925BD6">
        <w:rPr>
          <w:rStyle w:val="FootnoteReference"/>
        </w:rPr>
        <w:footnoteReference w:id="15"/>
      </w:r>
      <w:r w:rsidRPr="00AF2B0A">
        <w:rPr>
          <w:rFonts w:ascii="Book Antiqua" w:hAnsi="Book Antiqua"/>
        </w:rPr>
        <w:t xml:space="preserve"> </w:t>
      </w:r>
      <w:r w:rsidRPr="00AF2B0A">
        <w:rPr>
          <w:rFonts w:ascii="Book Antiqua" w:hAnsi="Book Antiqua"/>
          <w:color w:val="auto"/>
        </w:rPr>
        <w:t>Speelman tidak berani langsung menyerang Benteng Gowa. Speelman kemudian menawarkan pengampunan kepada mereka yang bersedia bekerja sama dengan Belanda. Pada tanggal 29 Juni 1669, Sultan Hasanudin mengundurkan diri dari pemerintahan, tahta diserahkan kepada putranya, Amir Hamzah.</w:t>
      </w:r>
      <w:r w:rsidRPr="00925BD6">
        <w:rPr>
          <w:rStyle w:val="FootnoteReference"/>
        </w:rPr>
        <w:footnoteReference w:id="16"/>
      </w:r>
      <w:r w:rsidRPr="00AF2B0A">
        <w:rPr>
          <w:rFonts w:ascii="Book Antiqua" w:hAnsi="Book Antiqua"/>
        </w:rPr>
        <w:t xml:space="preserve"> </w:t>
      </w:r>
      <w:r w:rsidRPr="00AF2B0A">
        <w:rPr>
          <w:rFonts w:ascii="Book Antiqua" w:hAnsi="Book Antiqua"/>
          <w:color w:val="auto"/>
        </w:rPr>
        <w:t>Sultan Hasanudin yang dengan gagah berani membela negaranya sampai detik terakhir, menguasai kerajaan Gowa selama 16 tahun, dari tahun 1653 hingga 1669. Baginda wafat di Gowa pada 12 Juni 1670 setelah menderita penyakit plasenta, pada usia 39 tahun.</w:t>
      </w:r>
      <w:r w:rsidRPr="00925BD6">
        <w:rPr>
          <w:rStyle w:val="FootnoteReference"/>
        </w:rPr>
        <w:footnoteReference w:id="17"/>
      </w:r>
      <w:r w:rsidRPr="00AF2B0A">
        <w:rPr>
          <w:rFonts w:ascii="Book Antiqua" w:hAnsi="Book Antiqua"/>
          <w:color w:val="auto"/>
        </w:rPr>
        <w:t xml:space="preserve"> Karena sesungguhnya seseorang yang mati membela negaranya adalah syahid. Sebagaimana dijelaskan dalam QS. Baqarah: 286:154.</w:t>
      </w:r>
    </w:p>
    <w:p w:rsidR="00F43A59" w:rsidRPr="00AF2B0A" w:rsidRDefault="00F43A59" w:rsidP="00CF4BEB">
      <w:pPr>
        <w:pStyle w:val="h5"/>
        <w:bidi/>
        <w:spacing w:line="276" w:lineRule="auto"/>
        <w:rPr>
          <w:rFonts w:ascii="Book Antiqua" w:hAnsi="Book Antiqua"/>
          <w:lang w:bidi="ar"/>
        </w:rPr>
      </w:pPr>
      <w:r w:rsidRPr="00AF2B0A">
        <w:rPr>
          <w:rFonts w:ascii="Book Antiqua" w:hAnsi="Book Antiqua"/>
          <w:lang w:bidi="ar"/>
        </w:rPr>
        <w:t xml:space="preserve"> :</w:t>
      </w:r>
      <w:r w:rsidRPr="00AF2B0A">
        <w:rPr>
          <w:rFonts w:ascii="Book Antiqua" w:hAnsi="Book Antiqua"/>
          <w:rtl/>
          <w:lang w:bidi="ar"/>
        </w:rPr>
        <w:t>وَلَا تَقُوْلُوْا لِمَنْ يُّقْتَلُ فِيْ سَبِيْلِ اللّٰهِ اَمْوَاتٌ ۗ بَلْ اَحْيَاۤءٌ وَّلٰكِنْ لَّا تَشْعُرُوْنَ - ١٥٤</w:t>
      </w:r>
    </w:p>
    <w:p w:rsidR="00F43A59" w:rsidRPr="00AF2B0A" w:rsidRDefault="00F43A59" w:rsidP="00CF4BEB">
      <w:pPr>
        <w:pStyle w:val="h5"/>
        <w:spacing w:before="0" w:beforeAutospacing="0" w:after="0" w:afterAutospacing="0" w:line="276" w:lineRule="auto"/>
        <w:ind w:left="709"/>
        <w:rPr>
          <w:rFonts w:ascii="Book Antiqua" w:hAnsi="Book Antiqua"/>
        </w:rPr>
      </w:pPr>
      <w:r w:rsidRPr="00AF2B0A">
        <w:rPr>
          <w:rFonts w:ascii="Book Antiqua" w:hAnsi="Book Antiqua"/>
        </w:rPr>
        <w:t>Terjemahannya :</w:t>
      </w:r>
    </w:p>
    <w:p w:rsidR="00F43A59" w:rsidRPr="00AF2B0A" w:rsidRDefault="00F43A59" w:rsidP="00AF2B0A">
      <w:pPr>
        <w:pStyle w:val="h5"/>
        <w:spacing w:before="0" w:beforeAutospacing="0" w:after="0" w:afterAutospacing="0"/>
        <w:ind w:left="709"/>
        <w:rPr>
          <w:rFonts w:ascii="Book Antiqua" w:hAnsi="Book Antiqua"/>
          <w:i/>
        </w:rPr>
      </w:pPr>
      <w:r w:rsidRPr="00AF2B0A">
        <w:rPr>
          <w:rFonts w:ascii="Book Antiqua" w:hAnsi="Book Antiqua"/>
          <w:i/>
        </w:rPr>
        <w:t>Dan janganlah kamu mengatakan bahwa orang-orang yang terbunuh di jalan Allah (mereka) telah mati. Sebenarnya (mereka) hidup, tapi kamu tidak menyadarinya.</w:t>
      </w:r>
      <w:r w:rsidRPr="00925BD6">
        <w:rPr>
          <w:rStyle w:val="FootnoteReference"/>
        </w:rPr>
        <w:footnoteReference w:id="18"/>
      </w:r>
    </w:p>
    <w:p w:rsidR="00AF2B0A" w:rsidRDefault="00AF2B0A" w:rsidP="00AF2B0A">
      <w:pPr>
        <w:pStyle w:val="h5"/>
        <w:spacing w:before="0" w:beforeAutospacing="0" w:after="0" w:afterAutospacing="0" w:line="276" w:lineRule="auto"/>
        <w:ind w:firstLine="709"/>
        <w:jc w:val="both"/>
        <w:rPr>
          <w:rFonts w:ascii="Book Antiqua" w:hAnsi="Book Antiqua"/>
        </w:rPr>
      </w:pPr>
    </w:p>
    <w:p w:rsidR="00F43A59" w:rsidRPr="00AF2B0A" w:rsidRDefault="00F43A59" w:rsidP="00AF2B0A">
      <w:pPr>
        <w:pStyle w:val="h5"/>
        <w:spacing w:before="0" w:beforeAutospacing="0" w:after="0" w:afterAutospacing="0" w:line="276" w:lineRule="auto"/>
        <w:ind w:firstLine="567"/>
        <w:jc w:val="both"/>
        <w:rPr>
          <w:rFonts w:ascii="Book Antiqua" w:hAnsi="Book Antiqua"/>
          <w:rtl/>
        </w:rPr>
      </w:pPr>
      <w:r w:rsidRPr="00AF2B0A">
        <w:rPr>
          <w:rFonts w:ascii="Book Antiqua" w:hAnsi="Book Antiqua"/>
        </w:rPr>
        <w:t xml:space="preserve">Dari ayat di atas, Allah Subhanahu wa Ta'ala melarang untuk mengatakan bahwa orang yang pergi di jalan Allah, mereka yang terbunuh di medan perang karena membela agama Allah adalah mati, tetapi Allah berfirman bahwa mereka hidup di alam barzakh. </w:t>
      </w:r>
    </w:p>
    <w:p w:rsidR="00F43A59" w:rsidRPr="00AF2B0A" w:rsidRDefault="00F43A59" w:rsidP="00CF4BEB">
      <w:pPr>
        <w:pStyle w:val="Default"/>
        <w:spacing w:line="276" w:lineRule="auto"/>
        <w:jc w:val="both"/>
        <w:rPr>
          <w:rFonts w:ascii="Book Antiqua" w:hAnsi="Book Antiqua"/>
          <w:color w:val="auto"/>
        </w:rPr>
      </w:pPr>
    </w:p>
    <w:p w:rsidR="00F43A59" w:rsidRDefault="00AF2B0A" w:rsidP="00CF4BEB">
      <w:pPr>
        <w:pStyle w:val="Default"/>
        <w:spacing w:line="276" w:lineRule="auto"/>
        <w:jc w:val="both"/>
        <w:rPr>
          <w:rFonts w:ascii="Book Antiqua" w:hAnsi="Book Antiqua"/>
          <w:b/>
          <w:noProof/>
          <w:lang w:val="en-ID"/>
        </w:rPr>
      </w:pPr>
      <w:r w:rsidRPr="000C0CFD">
        <w:rPr>
          <w:rFonts w:ascii="Book Antiqua" w:hAnsi="Book Antiqua"/>
          <w:b/>
          <w:noProof/>
          <w:lang w:val="en-ID"/>
        </w:rPr>
        <w:t>KESIMPULAN</w:t>
      </w:r>
      <w:r>
        <w:rPr>
          <w:rFonts w:ascii="Book Antiqua" w:hAnsi="Book Antiqua"/>
          <w:b/>
          <w:noProof/>
          <w:lang w:val="en-ID"/>
        </w:rPr>
        <w:t xml:space="preserve"> </w:t>
      </w:r>
    </w:p>
    <w:p w:rsidR="00661A5F" w:rsidRPr="00661A5F" w:rsidRDefault="00661A5F" w:rsidP="00661A5F">
      <w:pPr>
        <w:spacing w:before="240" w:after="120" w:line="360" w:lineRule="auto"/>
        <w:ind w:firstLine="720"/>
        <w:jc w:val="both"/>
        <w:rPr>
          <w:rFonts w:ascii="Book Antiqua" w:hAnsi="Book Antiqua" w:cs="Times New Roman"/>
          <w:bCs/>
          <w:iCs/>
          <w:sz w:val="24"/>
          <w:szCs w:val="24"/>
        </w:rPr>
      </w:pPr>
      <w:r w:rsidRPr="00661A5F">
        <w:rPr>
          <w:rFonts w:ascii="Book Antiqua" w:hAnsi="Book Antiqua" w:cs="Times New Roman"/>
          <w:bCs/>
          <w:iCs/>
          <w:sz w:val="24"/>
          <w:szCs w:val="24"/>
        </w:rPr>
        <w:t>Perang Makassar yang terjadi pada tahun 1666-1669 M yang mengakibatkan kekalahan Kesultanan Makassar oleh Kompeni Belanda, kemudian sangat mempengaruhi kehidupan masyarakat Sulawesi Selatan. Hal ini diterima oleh sebagian orang sebagai kekalahan sebagai takdir dari Allah SWT sehingga mereka tetap tinggal di Makassar dengan mengikuti aturan Kompeni Belanda sebagai resiko kalah perang. Ada juga kelompok yang menanggapi hal ini dengan melepaskan diri dari ikatan duniawi yang berkaitan dengan kekuasaan dan perusahaan dengan memasuki dunia tarekat. Mereka mendiami wilayah yang berada di luar jangkauan formal para penguasa Kompeni dengan membentuk ikatan persaudaraan spiritual dalam berbagai ritual. Ada juga kelompok yang ekstrim di luar daerah Sulawesi Selatan, mereka melakukan eksodus ke berbagai daerah di Nusantara untuk melanjutkan perlawanan. Namun, ada juga yang meninggalkan daerah tersebut dengan semangat ingin memperbaiki nasibnya menjadi lebih baik.</w:t>
      </w:r>
    </w:p>
    <w:p w:rsidR="00BC12A6" w:rsidRDefault="00661A5F" w:rsidP="00925BD6">
      <w:pPr>
        <w:pStyle w:val="Default"/>
        <w:spacing w:line="276" w:lineRule="auto"/>
        <w:jc w:val="both"/>
        <w:rPr>
          <w:rFonts w:ascii="Book Antiqua" w:hAnsi="Book Antiqua"/>
          <w:b/>
          <w:noProof/>
          <w:lang w:val="en-ID"/>
        </w:rPr>
      </w:pPr>
      <w:r w:rsidRPr="000C0CFD">
        <w:rPr>
          <w:rFonts w:ascii="Book Antiqua" w:hAnsi="Book Antiqua"/>
          <w:b/>
          <w:noProof/>
          <w:lang w:val="en-ID"/>
        </w:rPr>
        <w:t>DAFTAR PUSTAKA</w:t>
      </w:r>
      <w:r>
        <w:rPr>
          <w:rFonts w:ascii="Book Antiqua" w:hAnsi="Book Antiqua"/>
          <w:b/>
          <w:noProof/>
          <w:lang w:val="en-ID"/>
        </w:rPr>
        <w:t xml:space="preserve"> </w:t>
      </w:r>
    </w:p>
    <w:p w:rsidR="00925BD6" w:rsidRPr="00925BD6" w:rsidRDefault="00925BD6" w:rsidP="00925BD6">
      <w:pPr>
        <w:pStyle w:val="Default"/>
        <w:spacing w:line="276" w:lineRule="auto"/>
        <w:jc w:val="both"/>
        <w:rPr>
          <w:rFonts w:ascii="Book Antiqua" w:hAnsi="Book Antiqua"/>
          <w:b/>
          <w:noProof/>
          <w:lang w:val="en-ID"/>
        </w:rPr>
      </w:pPr>
      <w:bookmarkStart w:id="0" w:name="_GoBack"/>
      <w:bookmarkEnd w:id="0"/>
    </w:p>
    <w:p w:rsidR="00BC12A6" w:rsidRPr="00BC12A6" w:rsidRDefault="00BC12A6" w:rsidP="00BC12A6">
      <w:pPr>
        <w:pStyle w:val="FootnoteText"/>
        <w:spacing w:line="276" w:lineRule="auto"/>
        <w:ind w:left="709" w:hanging="709"/>
        <w:rPr>
          <w:rFonts w:ascii="Book Antiqua" w:hAnsi="Book Antiqua" w:cs="Times New Roman"/>
          <w:sz w:val="24"/>
          <w:szCs w:val="24"/>
          <w:lang w:val="en-US"/>
        </w:rPr>
      </w:pPr>
      <w:r w:rsidRPr="00395463">
        <w:rPr>
          <w:rFonts w:ascii="Book Antiqua" w:hAnsi="Book Antiqua" w:cs="Times New Roman"/>
          <w:sz w:val="24"/>
          <w:szCs w:val="24"/>
        </w:rPr>
        <w:t>Andaya, Leonard Y. The Heritage of Arung Palakka: A History of South Sulawesi (Celebes) in the Seventeenth Century, terj. Nurhady Simorok, Warisan Arung Palakka: Seja</w:t>
      </w:r>
      <w:r>
        <w:rPr>
          <w:rFonts w:ascii="Book Antiqua" w:hAnsi="Book Antiqua" w:cs="Times New Roman"/>
          <w:sz w:val="24"/>
          <w:szCs w:val="24"/>
        </w:rPr>
        <w:t>rah Sulawesi Selatan Abad ke-17</w:t>
      </w:r>
      <w:r>
        <w:rPr>
          <w:rFonts w:ascii="Book Antiqua" w:hAnsi="Book Antiqua" w:cs="Times New Roman"/>
          <w:sz w:val="24"/>
          <w:szCs w:val="24"/>
          <w:lang w:val="en-US"/>
        </w:rPr>
        <w:t>.</w:t>
      </w:r>
    </w:p>
    <w:p w:rsidR="00661A5F" w:rsidRDefault="00661A5F" w:rsidP="00BC12A6">
      <w:pPr>
        <w:tabs>
          <w:tab w:val="left" w:pos="993"/>
        </w:tabs>
        <w:spacing w:after="0"/>
        <w:ind w:left="709" w:hanging="709"/>
        <w:rPr>
          <w:rFonts w:ascii="Book Antiqua" w:hAnsi="Book Antiqua" w:cs="Times New Roman"/>
          <w:sz w:val="24"/>
          <w:szCs w:val="24"/>
          <w:lang w:val="en-US"/>
        </w:rPr>
      </w:pPr>
      <w:r w:rsidRPr="00395463">
        <w:rPr>
          <w:rFonts w:ascii="Book Antiqua" w:hAnsi="Book Antiqua" w:cs="Times New Roman"/>
          <w:sz w:val="24"/>
          <w:szCs w:val="24"/>
          <w:lang w:val="en-US"/>
        </w:rPr>
        <w:t>Bahri, “</w:t>
      </w:r>
      <w:r w:rsidRPr="00395463">
        <w:rPr>
          <w:rFonts w:ascii="Book Antiqua" w:hAnsi="Book Antiqua" w:cs="Times New Roman"/>
          <w:i/>
          <w:sz w:val="24"/>
          <w:szCs w:val="24"/>
          <w:lang w:val="en-US"/>
        </w:rPr>
        <w:t xml:space="preserve">Perebutan Panggadereng di Kerajaan LOkal di Jazirah Sulawesi Selatan Abad XV-XVII” </w:t>
      </w:r>
      <w:r w:rsidRPr="00395463">
        <w:rPr>
          <w:rFonts w:ascii="Book Antiqua" w:hAnsi="Book Antiqua" w:cs="Times New Roman"/>
          <w:sz w:val="24"/>
          <w:szCs w:val="24"/>
          <w:lang w:val="en-US"/>
        </w:rPr>
        <w:t>Pendidikan Sejarah Fakultas Ilmu Sosial, UNM Vol 12, no 1, September 2016</w:t>
      </w:r>
      <w:r w:rsidR="00BC12A6">
        <w:rPr>
          <w:rFonts w:ascii="Book Antiqua" w:hAnsi="Book Antiqua" w:cs="Times New Roman"/>
          <w:sz w:val="24"/>
          <w:szCs w:val="24"/>
          <w:lang w:val="en-US"/>
        </w:rPr>
        <w:t>.</w:t>
      </w:r>
    </w:p>
    <w:p w:rsidR="00BC12A6" w:rsidRPr="00BC12A6" w:rsidRDefault="00BC12A6" w:rsidP="00BC12A6">
      <w:pPr>
        <w:pStyle w:val="FootnoteText"/>
        <w:spacing w:line="276" w:lineRule="auto"/>
        <w:ind w:left="709" w:hanging="709"/>
        <w:rPr>
          <w:rFonts w:ascii="Book Antiqua" w:hAnsi="Book Antiqua" w:cs="Times New Roman"/>
          <w:sz w:val="24"/>
          <w:szCs w:val="24"/>
          <w:lang w:val="en-US"/>
        </w:rPr>
      </w:pPr>
      <w:r w:rsidRPr="00395463">
        <w:rPr>
          <w:rFonts w:ascii="Book Antiqua" w:hAnsi="Book Antiqua" w:cs="Times New Roman"/>
          <w:sz w:val="24"/>
          <w:szCs w:val="24"/>
        </w:rPr>
        <w:t xml:space="preserve">Haif, </w:t>
      </w:r>
      <w:r>
        <w:rPr>
          <w:rFonts w:ascii="Book Antiqua" w:hAnsi="Book Antiqua" w:cs="Times New Roman"/>
          <w:sz w:val="24"/>
          <w:szCs w:val="24"/>
        </w:rPr>
        <w:t>Abu</w:t>
      </w:r>
      <w:r>
        <w:rPr>
          <w:rFonts w:ascii="Book Antiqua" w:hAnsi="Book Antiqua" w:cs="Times New Roman"/>
          <w:sz w:val="24"/>
          <w:szCs w:val="24"/>
          <w:lang w:val="en-US"/>
        </w:rPr>
        <w:t xml:space="preserve">, </w:t>
      </w:r>
      <w:r w:rsidRPr="00395463">
        <w:rPr>
          <w:rFonts w:ascii="Book Antiqua" w:hAnsi="Book Antiqua" w:cs="Times New Roman"/>
          <w:sz w:val="24"/>
          <w:szCs w:val="24"/>
        </w:rPr>
        <w:t>Ritual Dalam Tradisi Mappanre Tasi Nelayan Bugis di Pagatan Kabupaten Tanah Bumbu Kalimantan Selatan: Akulturasi Islam dan Budaya Lokal, “Disertasi”, (Makassar</w:t>
      </w:r>
      <w:r>
        <w:rPr>
          <w:rFonts w:ascii="Book Antiqua" w:hAnsi="Book Antiqua" w:cs="Times New Roman"/>
          <w:sz w:val="24"/>
          <w:szCs w:val="24"/>
        </w:rPr>
        <w:t>: UIN Alauddin Makassar, 2018)</w:t>
      </w:r>
      <w:r>
        <w:rPr>
          <w:rFonts w:ascii="Book Antiqua" w:hAnsi="Book Antiqua" w:cs="Times New Roman"/>
          <w:sz w:val="24"/>
          <w:szCs w:val="24"/>
          <w:lang w:val="en-US"/>
        </w:rPr>
        <w:t>.</w:t>
      </w:r>
    </w:p>
    <w:p w:rsidR="00BC12A6" w:rsidRPr="00395463" w:rsidRDefault="00BC12A6" w:rsidP="00BC12A6">
      <w:pPr>
        <w:tabs>
          <w:tab w:val="left" w:pos="993"/>
        </w:tabs>
        <w:spacing w:after="0"/>
        <w:ind w:left="709" w:hanging="709"/>
        <w:rPr>
          <w:rFonts w:ascii="Book Antiqua" w:hAnsi="Book Antiqua"/>
          <w:sz w:val="24"/>
          <w:szCs w:val="24"/>
          <w:lang w:val="en-US"/>
        </w:rPr>
      </w:pPr>
    </w:p>
    <w:p w:rsidR="00661A5F" w:rsidRDefault="00661A5F" w:rsidP="00BC12A6">
      <w:pPr>
        <w:pStyle w:val="FootnoteText"/>
        <w:spacing w:line="276" w:lineRule="auto"/>
        <w:ind w:left="709" w:hanging="709"/>
        <w:jc w:val="both"/>
        <w:rPr>
          <w:rFonts w:ascii="Book Antiqua" w:hAnsi="Book Antiqua" w:cs="Times New Roman"/>
          <w:sz w:val="24"/>
          <w:szCs w:val="24"/>
          <w:lang w:val="en-US"/>
        </w:rPr>
      </w:pPr>
      <w:r w:rsidRPr="00395463">
        <w:rPr>
          <w:rFonts w:ascii="Book Antiqua" w:hAnsi="Book Antiqua" w:cs="Times New Roman"/>
          <w:sz w:val="24"/>
          <w:szCs w:val="24"/>
        </w:rPr>
        <w:t>Mattulada, Sejarah, Masyarakat dan Kebudayaan Sulawesi Selatan, (Cet. I, Ujung Pandang: Hasa</w:t>
      </w:r>
      <w:r w:rsidR="00BC12A6">
        <w:rPr>
          <w:rFonts w:ascii="Book Antiqua" w:hAnsi="Book Antiqua" w:cs="Times New Roman"/>
          <w:sz w:val="24"/>
          <w:szCs w:val="24"/>
        </w:rPr>
        <w:t>nuddin University Press, 1998)</w:t>
      </w:r>
      <w:r w:rsidR="00BC12A6">
        <w:rPr>
          <w:rFonts w:ascii="Book Antiqua" w:hAnsi="Book Antiqua" w:cs="Times New Roman"/>
          <w:sz w:val="24"/>
          <w:szCs w:val="24"/>
          <w:lang w:val="en-US"/>
        </w:rPr>
        <w:t>.</w:t>
      </w:r>
    </w:p>
    <w:p w:rsidR="00BC12A6" w:rsidRPr="00BC12A6" w:rsidRDefault="00BC12A6" w:rsidP="00BC12A6">
      <w:pPr>
        <w:pStyle w:val="FootnoteText"/>
        <w:spacing w:line="276" w:lineRule="auto"/>
        <w:ind w:left="709" w:hanging="709"/>
        <w:rPr>
          <w:rFonts w:ascii="Book Antiqua" w:hAnsi="Book Antiqua" w:cs="Times New Roman"/>
          <w:sz w:val="24"/>
          <w:szCs w:val="24"/>
          <w:lang w:val="en-US"/>
        </w:rPr>
      </w:pPr>
      <w:r w:rsidRPr="00395463">
        <w:rPr>
          <w:rFonts w:ascii="Book Antiqua" w:hAnsi="Book Antiqua" w:cs="Times New Roman"/>
          <w:sz w:val="24"/>
          <w:szCs w:val="24"/>
        </w:rPr>
        <w:t xml:space="preserve">Nasution, </w:t>
      </w:r>
      <w:r>
        <w:rPr>
          <w:rFonts w:ascii="Book Antiqua" w:hAnsi="Book Antiqua" w:cs="Times New Roman"/>
          <w:sz w:val="24"/>
          <w:szCs w:val="24"/>
        </w:rPr>
        <w:t>Harun</w:t>
      </w:r>
      <w:r>
        <w:rPr>
          <w:rFonts w:ascii="Book Antiqua" w:hAnsi="Book Antiqua" w:cs="Times New Roman"/>
          <w:sz w:val="24"/>
          <w:szCs w:val="24"/>
          <w:lang w:val="en-US"/>
        </w:rPr>
        <w:t xml:space="preserve">, </w:t>
      </w:r>
      <w:r w:rsidRPr="00395463">
        <w:rPr>
          <w:rFonts w:ascii="Book Antiqua" w:hAnsi="Book Antiqua" w:cs="Times New Roman"/>
          <w:sz w:val="24"/>
          <w:szCs w:val="24"/>
        </w:rPr>
        <w:t xml:space="preserve">Teologi Islam; Aliran Sejarah Analisa Perbandingan, (Jakarta: Universitas Indonesia Press, </w:t>
      </w:r>
      <w:r>
        <w:rPr>
          <w:rFonts w:ascii="Book Antiqua" w:hAnsi="Book Antiqua" w:cs="Times New Roman"/>
          <w:sz w:val="24"/>
          <w:szCs w:val="24"/>
        </w:rPr>
        <w:t>2013)</w:t>
      </w:r>
      <w:r>
        <w:rPr>
          <w:rFonts w:ascii="Book Antiqua" w:hAnsi="Book Antiqua" w:cs="Times New Roman"/>
          <w:sz w:val="24"/>
          <w:szCs w:val="24"/>
          <w:lang w:val="en-US"/>
        </w:rPr>
        <w:t>.</w:t>
      </w:r>
    </w:p>
    <w:p w:rsidR="00661A5F" w:rsidRDefault="00661A5F" w:rsidP="00BC12A6">
      <w:pPr>
        <w:pStyle w:val="FootnoteText"/>
        <w:spacing w:before="120" w:line="276" w:lineRule="auto"/>
        <w:ind w:left="709" w:hanging="709"/>
        <w:jc w:val="both"/>
        <w:rPr>
          <w:rFonts w:ascii="Book Antiqua" w:hAnsi="Book Antiqua" w:cs="Times New Roman"/>
          <w:sz w:val="24"/>
          <w:szCs w:val="24"/>
          <w:lang w:val="en-US"/>
        </w:rPr>
      </w:pPr>
      <w:r w:rsidRPr="00395463">
        <w:rPr>
          <w:rFonts w:ascii="Book Antiqua" w:hAnsi="Book Antiqua" w:cs="Times New Roman"/>
          <w:sz w:val="24"/>
          <w:szCs w:val="24"/>
        </w:rPr>
        <w:t>Notosusanto</w:t>
      </w:r>
      <w:r w:rsidRPr="00395463">
        <w:rPr>
          <w:rFonts w:ascii="Book Antiqua" w:hAnsi="Book Antiqua" w:cs="Times New Roman"/>
          <w:i/>
          <w:sz w:val="24"/>
          <w:szCs w:val="24"/>
        </w:rPr>
        <w:t>,</w:t>
      </w:r>
      <w:r w:rsidR="00BC12A6" w:rsidRPr="00BC12A6">
        <w:rPr>
          <w:rFonts w:ascii="Book Antiqua" w:hAnsi="Book Antiqua" w:cs="Times New Roman"/>
          <w:sz w:val="24"/>
          <w:szCs w:val="24"/>
        </w:rPr>
        <w:t xml:space="preserve"> </w:t>
      </w:r>
      <w:r w:rsidR="00BC12A6">
        <w:rPr>
          <w:rFonts w:ascii="Book Antiqua" w:hAnsi="Book Antiqua" w:cs="Times New Roman"/>
          <w:sz w:val="24"/>
          <w:szCs w:val="24"/>
        </w:rPr>
        <w:t>Nugroho</w:t>
      </w:r>
      <w:r w:rsidR="00BC12A6">
        <w:rPr>
          <w:rFonts w:ascii="Book Antiqua" w:hAnsi="Book Antiqua" w:cs="Times New Roman"/>
          <w:sz w:val="24"/>
          <w:szCs w:val="24"/>
          <w:lang w:val="en-US"/>
        </w:rPr>
        <w:t>,</w:t>
      </w:r>
      <w:r w:rsidRPr="00395463">
        <w:rPr>
          <w:rFonts w:ascii="Book Antiqua" w:hAnsi="Book Antiqua" w:cs="Times New Roman"/>
          <w:i/>
          <w:sz w:val="24"/>
          <w:szCs w:val="24"/>
        </w:rPr>
        <w:t xml:space="preserve"> Mengerti Sejarah</w:t>
      </w:r>
      <w:r w:rsidRPr="00395463">
        <w:rPr>
          <w:rFonts w:ascii="Book Antiqua" w:hAnsi="Book Antiqua" w:cs="Times New Roman"/>
          <w:sz w:val="24"/>
          <w:szCs w:val="24"/>
        </w:rPr>
        <w:t xml:space="preserve"> (Jakarta: Pener</w:t>
      </w:r>
      <w:r w:rsidR="00BC12A6">
        <w:rPr>
          <w:rFonts w:ascii="Book Antiqua" w:hAnsi="Book Antiqua" w:cs="Times New Roman"/>
          <w:sz w:val="24"/>
          <w:szCs w:val="24"/>
        </w:rPr>
        <w:t>bit Universitas Indonesia,1986)</w:t>
      </w:r>
      <w:r w:rsidR="00BC12A6">
        <w:rPr>
          <w:rFonts w:ascii="Book Antiqua" w:hAnsi="Book Antiqua" w:cs="Times New Roman"/>
          <w:sz w:val="24"/>
          <w:szCs w:val="24"/>
          <w:lang w:val="en-US"/>
        </w:rPr>
        <w:t>.</w:t>
      </w:r>
    </w:p>
    <w:p w:rsidR="00BC12A6" w:rsidRPr="00BC12A6" w:rsidRDefault="00BC12A6" w:rsidP="00BC12A6">
      <w:pPr>
        <w:pStyle w:val="FootnoteText"/>
        <w:spacing w:line="276" w:lineRule="auto"/>
        <w:ind w:left="709" w:hanging="709"/>
        <w:rPr>
          <w:rFonts w:ascii="Book Antiqua" w:hAnsi="Book Antiqua" w:cs="Times New Roman"/>
          <w:sz w:val="24"/>
          <w:szCs w:val="24"/>
          <w:lang w:val="en-US"/>
        </w:rPr>
      </w:pPr>
      <w:r w:rsidRPr="00395463">
        <w:rPr>
          <w:rFonts w:ascii="Book Antiqua" w:hAnsi="Book Antiqua" w:cs="Times New Roman"/>
          <w:sz w:val="24"/>
          <w:szCs w:val="24"/>
        </w:rPr>
        <w:t>Paeni,</w:t>
      </w:r>
      <w:r w:rsidRPr="00BC12A6">
        <w:rPr>
          <w:rFonts w:ascii="Book Antiqua" w:hAnsi="Book Antiqua" w:cs="Times New Roman"/>
          <w:sz w:val="24"/>
          <w:szCs w:val="24"/>
        </w:rPr>
        <w:t xml:space="preserve"> </w:t>
      </w:r>
      <w:r w:rsidRPr="00395463">
        <w:rPr>
          <w:rFonts w:ascii="Book Antiqua" w:hAnsi="Book Antiqua" w:cs="Times New Roman"/>
          <w:sz w:val="24"/>
          <w:szCs w:val="24"/>
        </w:rPr>
        <w:t xml:space="preserve">Muchlis “Membedah Perjanjian Bongaya” (Makalah yang disajikan pada Seminar Membedah Perjanjian Bongaya 1667 oleh Kementerian Koordinator </w:t>
      </w:r>
      <w:r w:rsidRPr="00395463">
        <w:rPr>
          <w:rFonts w:ascii="Book Antiqua" w:hAnsi="Book Antiqua" w:cs="Times New Roman"/>
          <w:sz w:val="24"/>
          <w:szCs w:val="24"/>
        </w:rPr>
        <w:lastRenderedPageBreak/>
        <w:t>Bidang Maritim dan Sumberdaya Republik Indonesia</w:t>
      </w:r>
      <w:r>
        <w:rPr>
          <w:rFonts w:ascii="Book Antiqua" w:hAnsi="Book Antiqua" w:cs="Times New Roman"/>
          <w:sz w:val="24"/>
          <w:szCs w:val="24"/>
        </w:rPr>
        <w:t>, Makassar, 21 Desember 2015)</w:t>
      </w:r>
      <w:r>
        <w:rPr>
          <w:rFonts w:ascii="Book Antiqua" w:hAnsi="Book Antiqua" w:cs="Times New Roman"/>
          <w:sz w:val="24"/>
          <w:szCs w:val="24"/>
          <w:lang w:val="en-US"/>
        </w:rPr>
        <w:t>.</w:t>
      </w:r>
    </w:p>
    <w:p w:rsidR="00BC12A6" w:rsidRPr="00BC12A6" w:rsidRDefault="00BC12A6" w:rsidP="00BC12A6">
      <w:pPr>
        <w:pStyle w:val="FootnoteText"/>
        <w:spacing w:line="276" w:lineRule="auto"/>
        <w:ind w:left="709" w:hanging="709"/>
        <w:rPr>
          <w:rFonts w:ascii="Book Antiqua" w:hAnsi="Book Antiqua" w:cs="Times New Roman"/>
          <w:sz w:val="24"/>
          <w:szCs w:val="24"/>
          <w:lang w:val="en-US"/>
        </w:rPr>
      </w:pPr>
      <w:r w:rsidRPr="00395463">
        <w:rPr>
          <w:rFonts w:ascii="Book Antiqua" w:hAnsi="Book Antiqua" w:cs="Times New Roman"/>
          <w:sz w:val="24"/>
          <w:szCs w:val="24"/>
        </w:rPr>
        <w:t>Razak</w:t>
      </w:r>
      <w:r>
        <w:rPr>
          <w:rFonts w:ascii="Book Antiqua" w:hAnsi="Book Antiqua" w:cs="Times New Roman"/>
          <w:sz w:val="24"/>
          <w:szCs w:val="24"/>
          <w:lang w:val="en-US"/>
        </w:rPr>
        <w:t>,</w:t>
      </w:r>
      <w:r w:rsidRPr="00395463">
        <w:rPr>
          <w:rFonts w:ascii="Book Antiqua" w:hAnsi="Book Antiqua" w:cs="Times New Roman"/>
          <w:sz w:val="24"/>
          <w:szCs w:val="24"/>
        </w:rPr>
        <w:t xml:space="preserve"> A</w:t>
      </w:r>
      <w:r w:rsidRPr="00395463">
        <w:rPr>
          <w:rFonts w:ascii="Book Antiqua" w:hAnsi="Book Antiqua" w:cs="Times New Roman"/>
          <w:sz w:val="24"/>
          <w:szCs w:val="24"/>
          <w:lang w:val="en-US"/>
        </w:rPr>
        <w:t>bd</w:t>
      </w:r>
      <w:r w:rsidRPr="00395463">
        <w:rPr>
          <w:rFonts w:ascii="Book Antiqua" w:hAnsi="Book Antiqua" w:cs="Times New Roman"/>
          <w:sz w:val="24"/>
          <w:szCs w:val="24"/>
        </w:rPr>
        <w:t xml:space="preserve">. Daeng Patunru,  </w:t>
      </w:r>
      <w:r w:rsidRPr="00395463">
        <w:rPr>
          <w:rFonts w:ascii="Book Antiqua" w:hAnsi="Book Antiqua" w:cs="Times New Roman"/>
          <w:i/>
          <w:sz w:val="24"/>
          <w:szCs w:val="24"/>
        </w:rPr>
        <w:t>Sejarah Gowa</w:t>
      </w:r>
      <w:r w:rsidRPr="00395463">
        <w:rPr>
          <w:rFonts w:ascii="Book Antiqua" w:hAnsi="Book Antiqua" w:cs="Times New Roman"/>
          <w:sz w:val="24"/>
          <w:szCs w:val="24"/>
        </w:rPr>
        <w:t>,  (Ujung Pandang : Yayasan Kebudayaan Sul-Sel di Makassar, 1983)</w:t>
      </w:r>
      <w:r>
        <w:rPr>
          <w:rFonts w:ascii="Book Antiqua" w:hAnsi="Book Antiqua" w:cs="Times New Roman"/>
          <w:sz w:val="24"/>
          <w:szCs w:val="24"/>
          <w:lang w:val="en-US"/>
        </w:rPr>
        <w:t>.</w:t>
      </w:r>
    </w:p>
    <w:p w:rsidR="00BC12A6" w:rsidRPr="00BC12A6" w:rsidRDefault="00BC12A6" w:rsidP="00BC12A6">
      <w:pPr>
        <w:spacing w:before="84"/>
        <w:ind w:left="709" w:right="284" w:hanging="709"/>
        <w:rPr>
          <w:rFonts w:ascii="Book Antiqua" w:hAnsi="Book Antiqua" w:cstheme="majorBidi"/>
          <w:sz w:val="24"/>
          <w:szCs w:val="24"/>
          <w:lang w:val="en-US"/>
        </w:rPr>
      </w:pPr>
      <w:r w:rsidRPr="00395463">
        <w:rPr>
          <w:rFonts w:ascii="Book Antiqua" w:hAnsi="Book Antiqua" w:cstheme="majorBidi"/>
          <w:spacing w:val="-2"/>
          <w:position w:val="-1"/>
          <w:sz w:val="24"/>
          <w:szCs w:val="24"/>
        </w:rPr>
        <w:t>R</w:t>
      </w:r>
      <w:r w:rsidRPr="00395463">
        <w:rPr>
          <w:rFonts w:ascii="Book Antiqua" w:hAnsi="Book Antiqua" w:cstheme="majorBidi"/>
          <w:spacing w:val="1"/>
          <w:position w:val="-1"/>
          <w:sz w:val="24"/>
          <w:szCs w:val="24"/>
        </w:rPr>
        <w:t>I</w:t>
      </w:r>
      <w:r w:rsidRPr="00395463">
        <w:rPr>
          <w:rFonts w:ascii="Book Antiqua" w:hAnsi="Book Antiqua" w:cstheme="majorBidi"/>
          <w:position w:val="-1"/>
          <w:sz w:val="24"/>
          <w:szCs w:val="24"/>
        </w:rPr>
        <w:t xml:space="preserve">, </w:t>
      </w:r>
      <w:r w:rsidRPr="00395463">
        <w:rPr>
          <w:rFonts w:ascii="Book Antiqua" w:hAnsi="Book Antiqua" w:cstheme="majorBidi"/>
          <w:spacing w:val="5"/>
          <w:position w:val="-1"/>
          <w:sz w:val="24"/>
          <w:szCs w:val="24"/>
        </w:rPr>
        <w:t xml:space="preserve"> </w:t>
      </w:r>
      <w:r w:rsidRPr="00395463">
        <w:rPr>
          <w:rFonts w:ascii="Book Antiqua" w:hAnsi="Book Antiqua" w:cstheme="majorBidi"/>
          <w:position w:val="-1"/>
          <w:sz w:val="24"/>
          <w:szCs w:val="24"/>
        </w:rPr>
        <w:t>D</w:t>
      </w:r>
      <w:r w:rsidRPr="00395463">
        <w:rPr>
          <w:rFonts w:ascii="Book Antiqua" w:hAnsi="Book Antiqua" w:cstheme="majorBidi"/>
          <w:spacing w:val="-1"/>
          <w:position w:val="-1"/>
          <w:sz w:val="24"/>
          <w:szCs w:val="24"/>
        </w:rPr>
        <w:t>e</w:t>
      </w:r>
      <w:r w:rsidRPr="00395463">
        <w:rPr>
          <w:rFonts w:ascii="Book Antiqua" w:hAnsi="Book Antiqua" w:cstheme="majorBidi"/>
          <w:position w:val="-1"/>
          <w:sz w:val="24"/>
          <w:szCs w:val="24"/>
        </w:rPr>
        <w:t>p</w:t>
      </w:r>
      <w:r w:rsidRPr="00395463">
        <w:rPr>
          <w:rFonts w:ascii="Book Antiqua" w:hAnsi="Book Antiqua" w:cstheme="majorBidi"/>
          <w:spacing w:val="-1"/>
          <w:position w:val="-1"/>
          <w:sz w:val="24"/>
          <w:szCs w:val="24"/>
        </w:rPr>
        <w:t>a</w:t>
      </w:r>
      <w:r w:rsidRPr="00395463">
        <w:rPr>
          <w:rFonts w:ascii="Book Antiqua" w:hAnsi="Book Antiqua" w:cstheme="majorBidi"/>
          <w:spacing w:val="1"/>
          <w:position w:val="-1"/>
          <w:sz w:val="24"/>
          <w:szCs w:val="24"/>
        </w:rPr>
        <w:t>r</w:t>
      </w:r>
      <w:r w:rsidRPr="00395463">
        <w:rPr>
          <w:rFonts w:ascii="Book Antiqua" w:hAnsi="Book Antiqua" w:cstheme="majorBidi"/>
          <w:spacing w:val="5"/>
          <w:position w:val="-1"/>
          <w:sz w:val="24"/>
          <w:szCs w:val="24"/>
        </w:rPr>
        <w:t>t</w:t>
      </w:r>
      <w:r w:rsidRPr="00395463">
        <w:rPr>
          <w:rFonts w:ascii="Book Antiqua" w:hAnsi="Book Antiqua" w:cstheme="majorBidi"/>
          <w:spacing w:val="-1"/>
          <w:position w:val="-1"/>
          <w:sz w:val="24"/>
          <w:szCs w:val="24"/>
        </w:rPr>
        <w:t>e</w:t>
      </w:r>
      <w:r w:rsidRPr="00395463">
        <w:rPr>
          <w:rFonts w:ascii="Book Antiqua" w:hAnsi="Book Antiqua" w:cstheme="majorBidi"/>
          <w:spacing w:val="-9"/>
          <w:position w:val="-1"/>
          <w:sz w:val="24"/>
          <w:szCs w:val="24"/>
        </w:rPr>
        <w:t>m</w:t>
      </w:r>
      <w:r w:rsidRPr="00395463">
        <w:rPr>
          <w:rFonts w:ascii="Book Antiqua" w:hAnsi="Book Antiqua" w:cstheme="majorBidi"/>
          <w:spacing w:val="4"/>
          <w:position w:val="-1"/>
          <w:sz w:val="24"/>
          <w:szCs w:val="24"/>
        </w:rPr>
        <w:t>e</w:t>
      </w:r>
      <w:r>
        <w:rPr>
          <w:rFonts w:ascii="Book Antiqua" w:hAnsi="Book Antiqua" w:cstheme="majorBidi"/>
          <w:position w:val="-1"/>
          <w:sz w:val="24"/>
          <w:szCs w:val="24"/>
        </w:rPr>
        <w:t>n</w:t>
      </w:r>
      <w:r w:rsidRPr="00BC12A6">
        <w:rPr>
          <w:rFonts w:ascii="Book Antiqua" w:hAnsi="Book Antiqua" w:cstheme="majorBidi"/>
          <w:spacing w:val="-5"/>
          <w:position w:val="-1"/>
          <w:sz w:val="24"/>
          <w:szCs w:val="24"/>
        </w:rPr>
        <w:t xml:space="preserve"> </w:t>
      </w:r>
      <w:r w:rsidRPr="00395463">
        <w:rPr>
          <w:rFonts w:ascii="Book Antiqua" w:hAnsi="Book Antiqua" w:cstheme="majorBidi"/>
          <w:spacing w:val="-5"/>
          <w:position w:val="-1"/>
          <w:sz w:val="24"/>
          <w:szCs w:val="24"/>
        </w:rPr>
        <w:t>A</w:t>
      </w:r>
      <w:r w:rsidRPr="00395463">
        <w:rPr>
          <w:rFonts w:ascii="Book Antiqua" w:hAnsi="Book Antiqua" w:cstheme="majorBidi"/>
          <w:position w:val="-1"/>
          <w:sz w:val="24"/>
          <w:szCs w:val="24"/>
        </w:rPr>
        <w:t>g</w:t>
      </w:r>
      <w:r w:rsidRPr="00395463">
        <w:rPr>
          <w:rFonts w:ascii="Book Antiqua" w:hAnsi="Book Antiqua" w:cstheme="majorBidi"/>
          <w:spacing w:val="4"/>
          <w:position w:val="-1"/>
          <w:sz w:val="24"/>
          <w:szCs w:val="24"/>
        </w:rPr>
        <w:t>a</w:t>
      </w:r>
      <w:r w:rsidRPr="00395463">
        <w:rPr>
          <w:rFonts w:ascii="Book Antiqua" w:hAnsi="Book Antiqua" w:cstheme="majorBidi"/>
          <w:spacing w:val="-4"/>
          <w:position w:val="-1"/>
          <w:sz w:val="24"/>
          <w:szCs w:val="24"/>
        </w:rPr>
        <w:t>m</w:t>
      </w:r>
      <w:r w:rsidRPr="00395463">
        <w:rPr>
          <w:rFonts w:ascii="Book Antiqua" w:hAnsi="Book Antiqua" w:cstheme="majorBidi"/>
          <w:position w:val="-1"/>
          <w:sz w:val="24"/>
          <w:szCs w:val="24"/>
        </w:rPr>
        <w:t>a</w:t>
      </w:r>
      <w:r>
        <w:rPr>
          <w:rFonts w:ascii="Book Antiqua" w:hAnsi="Book Antiqua" w:cstheme="majorBidi"/>
          <w:position w:val="-1"/>
          <w:sz w:val="24"/>
          <w:szCs w:val="24"/>
          <w:lang w:val="en-US"/>
        </w:rPr>
        <w:t xml:space="preserve">, </w:t>
      </w:r>
      <w:r w:rsidRPr="00395463">
        <w:rPr>
          <w:rFonts w:ascii="Book Antiqua" w:hAnsi="Book Antiqua" w:cstheme="majorBidi"/>
          <w:i/>
          <w:spacing w:val="2"/>
          <w:position w:val="-1"/>
          <w:sz w:val="24"/>
          <w:szCs w:val="24"/>
        </w:rPr>
        <w:t>A</w:t>
      </w:r>
      <w:r w:rsidRPr="00395463">
        <w:rPr>
          <w:rFonts w:ascii="Book Antiqua" w:hAnsi="Book Antiqua" w:cstheme="majorBidi"/>
          <w:i/>
          <w:position w:val="-1"/>
          <w:sz w:val="24"/>
          <w:szCs w:val="24"/>
        </w:rPr>
        <w:t>l</w:t>
      </w:r>
      <w:r w:rsidRPr="00395463">
        <w:rPr>
          <w:rFonts w:ascii="Book Antiqua" w:hAnsi="Book Antiqua" w:cstheme="majorBidi"/>
          <w:i/>
          <w:spacing w:val="2"/>
          <w:position w:val="-1"/>
          <w:sz w:val="24"/>
          <w:szCs w:val="24"/>
        </w:rPr>
        <w:t>-</w:t>
      </w:r>
      <w:r w:rsidRPr="00395463">
        <w:rPr>
          <w:rFonts w:ascii="Book Antiqua" w:hAnsi="Book Antiqua" w:cstheme="majorBidi"/>
          <w:i/>
          <w:position w:val="-1"/>
          <w:sz w:val="24"/>
          <w:szCs w:val="24"/>
        </w:rPr>
        <w:t>qu</w:t>
      </w:r>
      <w:r w:rsidRPr="00395463">
        <w:rPr>
          <w:rFonts w:ascii="Book Antiqua" w:hAnsi="Book Antiqua" w:cstheme="majorBidi"/>
          <w:i/>
          <w:spacing w:val="-2"/>
          <w:position w:val="-1"/>
          <w:sz w:val="24"/>
          <w:szCs w:val="24"/>
        </w:rPr>
        <w:t>r</w:t>
      </w:r>
      <w:r w:rsidRPr="00395463">
        <w:rPr>
          <w:rFonts w:ascii="Book Antiqua" w:hAnsi="Book Antiqua" w:cstheme="majorBidi"/>
          <w:i/>
          <w:position w:val="-1"/>
          <w:sz w:val="24"/>
          <w:szCs w:val="24"/>
        </w:rPr>
        <w:t>an  dan</w:t>
      </w:r>
      <w:r w:rsidRPr="00395463">
        <w:rPr>
          <w:rFonts w:ascii="Book Antiqua" w:hAnsi="Book Antiqua" w:cstheme="majorBidi"/>
          <w:i/>
          <w:spacing w:val="55"/>
          <w:position w:val="-1"/>
          <w:sz w:val="24"/>
          <w:szCs w:val="24"/>
        </w:rPr>
        <w:t xml:space="preserve"> </w:t>
      </w:r>
      <w:r w:rsidRPr="00395463">
        <w:rPr>
          <w:rFonts w:ascii="Book Antiqua" w:hAnsi="Book Antiqua" w:cstheme="majorBidi"/>
          <w:i/>
          <w:spacing w:val="1"/>
          <w:position w:val="-1"/>
          <w:sz w:val="24"/>
          <w:szCs w:val="24"/>
        </w:rPr>
        <w:t>T</w:t>
      </w:r>
      <w:r w:rsidRPr="00395463">
        <w:rPr>
          <w:rFonts w:ascii="Book Antiqua" w:hAnsi="Book Antiqua" w:cstheme="majorBidi"/>
          <w:i/>
          <w:spacing w:val="-1"/>
          <w:position w:val="-1"/>
          <w:sz w:val="24"/>
          <w:szCs w:val="24"/>
        </w:rPr>
        <w:t>e</w:t>
      </w:r>
      <w:r w:rsidRPr="00395463">
        <w:rPr>
          <w:rFonts w:ascii="Book Antiqua" w:hAnsi="Book Antiqua" w:cstheme="majorBidi"/>
          <w:i/>
          <w:spacing w:val="-2"/>
          <w:position w:val="-1"/>
          <w:sz w:val="24"/>
          <w:szCs w:val="24"/>
        </w:rPr>
        <w:t>r</w:t>
      </w:r>
      <w:r w:rsidRPr="00395463">
        <w:rPr>
          <w:rFonts w:ascii="Book Antiqua" w:hAnsi="Book Antiqua" w:cstheme="majorBidi"/>
          <w:i/>
          <w:position w:val="-1"/>
          <w:sz w:val="24"/>
          <w:szCs w:val="24"/>
        </w:rPr>
        <w:t>je</w:t>
      </w:r>
      <w:r w:rsidRPr="00395463">
        <w:rPr>
          <w:rFonts w:ascii="Book Antiqua" w:hAnsi="Book Antiqua" w:cstheme="majorBidi"/>
          <w:i/>
          <w:spacing w:val="-1"/>
          <w:position w:val="-1"/>
          <w:sz w:val="24"/>
          <w:szCs w:val="24"/>
        </w:rPr>
        <w:t>m</w:t>
      </w:r>
      <w:r w:rsidRPr="00395463">
        <w:rPr>
          <w:rFonts w:ascii="Book Antiqua" w:hAnsi="Book Antiqua" w:cstheme="majorBidi"/>
          <w:i/>
          <w:position w:val="-1"/>
          <w:sz w:val="24"/>
          <w:szCs w:val="24"/>
        </w:rPr>
        <w:t>aha</w:t>
      </w:r>
      <w:r w:rsidRPr="00395463">
        <w:rPr>
          <w:rFonts w:ascii="Book Antiqua" w:hAnsi="Book Antiqua" w:cstheme="majorBidi"/>
          <w:i/>
          <w:spacing w:val="2"/>
          <w:position w:val="-1"/>
          <w:sz w:val="24"/>
          <w:szCs w:val="24"/>
        </w:rPr>
        <w:t>n</w:t>
      </w:r>
      <w:r w:rsidRPr="00395463">
        <w:rPr>
          <w:rFonts w:ascii="Book Antiqua" w:hAnsi="Book Antiqua" w:cstheme="majorBidi"/>
          <w:position w:val="-1"/>
          <w:sz w:val="24"/>
          <w:szCs w:val="24"/>
        </w:rPr>
        <w:t xml:space="preserve">. </w:t>
      </w:r>
      <w:r w:rsidRPr="00395463">
        <w:rPr>
          <w:rFonts w:ascii="Book Antiqua" w:hAnsi="Book Antiqua" w:cstheme="majorBidi"/>
          <w:spacing w:val="2"/>
          <w:position w:val="-1"/>
          <w:sz w:val="24"/>
          <w:szCs w:val="24"/>
        </w:rPr>
        <w:t xml:space="preserve"> </w:t>
      </w:r>
      <w:r w:rsidRPr="00395463">
        <w:rPr>
          <w:rFonts w:ascii="Book Antiqua" w:hAnsi="Book Antiqua" w:cstheme="majorBidi"/>
          <w:spacing w:val="-2"/>
          <w:position w:val="-1"/>
          <w:sz w:val="24"/>
          <w:szCs w:val="24"/>
        </w:rPr>
        <w:t>C</w:t>
      </w:r>
      <w:r w:rsidRPr="00395463">
        <w:rPr>
          <w:rFonts w:ascii="Book Antiqua" w:hAnsi="Book Antiqua" w:cstheme="majorBidi"/>
          <w:spacing w:val="-6"/>
          <w:position w:val="-1"/>
          <w:sz w:val="24"/>
          <w:szCs w:val="24"/>
        </w:rPr>
        <w:t>e</w:t>
      </w:r>
      <w:r w:rsidRPr="00395463">
        <w:rPr>
          <w:rFonts w:ascii="Book Antiqua" w:hAnsi="Book Antiqua" w:cstheme="majorBidi"/>
          <w:spacing w:val="5"/>
          <w:position w:val="-1"/>
          <w:sz w:val="24"/>
          <w:szCs w:val="24"/>
        </w:rPr>
        <w:t>t</w:t>
      </w:r>
      <w:r w:rsidRPr="00395463">
        <w:rPr>
          <w:rFonts w:ascii="Book Antiqua" w:hAnsi="Book Antiqua" w:cstheme="majorBidi"/>
          <w:position w:val="-1"/>
          <w:sz w:val="24"/>
          <w:szCs w:val="24"/>
        </w:rPr>
        <w:t>.</w:t>
      </w:r>
      <w:r w:rsidRPr="00395463">
        <w:rPr>
          <w:rFonts w:ascii="Book Antiqua" w:hAnsi="Book Antiqua" w:cstheme="majorBidi"/>
          <w:spacing w:val="57"/>
          <w:position w:val="-1"/>
          <w:sz w:val="24"/>
          <w:szCs w:val="24"/>
        </w:rPr>
        <w:t xml:space="preserve"> </w:t>
      </w:r>
      <w:r w:rsidRPr="00395463">
        <w:rPr>
          <w:rFonts w:ascii="Book Antiqua" w:hAnsi="Book Antiqua" w:cstheme="majorBidi"/>
          <w:spacing w:val="3"/>
          <w:position w:val="-1"/>
          <w:sz w:val="24"/>
          <w:szCs w:val="24"/>
        </w:rPr>
        <w:t>I</w:t>
      </w:r>
      <w:r w:rsidRPr="00395463">
        <w:rPr>
          <w:rFonts w:ascii="Book Antiqua" w:hAnsi="Book Antiqua" w:cstheme="majorBidi"/>
          <w:position w:val="-1"/>
          <w:sz w:val="24"/>
          <w:szCs w:val="24"/>
        </w:rPr>
        <w:t>;</w:t>
      </w:r>
      <w:r w:rsidRPr="00395463">
        <w:rPr>
          <w:rFonts w:ascii="Book Antiqua" w:hAnsi="Book Antiqua" w:cstheme="majorBidi"/>
          <w:spacing w:val="55"/>
          <w:position w:val="-1"/>
          <w:sz w:val="24"/>
          <w:szCs w:val="24"/>
        </w:rPr>
        <w:t xml:space="preserve"> </w:t>
      </w:r>
      <w:r w:rsidRPr="00395463">
        <w:rPr>
          <w:rFonts w:ascii="Book Antiqua" w:hAnsi="Book Antiqua" w:cstheme="majorBidi"/>
          <w:spacing w:val="-2"/>
          <w:position w:val="-1"/>
          <w:sz w:val="24"/>
          <w:szCs w:val="24"/>
        </w:rPr>
        <w:t>B</w:t>
      </w:r>
      <w:r w:rsidRPr="00395463">
        <w:rPr>
          <w:rFonts w:ascii="Book Antiqua" w:hAnsi="Book Antiqua" w:cstheme="majorBidi"/>
          <w:spacing w:val="-1"/>
          <w:position w:val="-1"/>
          <w:sz w:val="24"/>
          <w:szCs w:val="24"/>
        </w:rPr>
        <w:t>a</w:t>
      </w:r>
      <w:r w:rsidRPr="00395463">
        <w:rPr>
          <w:rFonts w:ascii="Book Antiqua" w:hAnsi="Book Antiqua" w:cstheme="majorBidi"/>
          <w:spacing w:val="-5"/>
          <w:position w:val="-1"/>
          <w:sz w:val="24"/>
          <w:szCs w:val="24"/>
        </w:rPr>
        <w:t>n</w:t>
      </w:r>
      <w:r w:rsidRPr="00395463">
        <w:rPr>
          <w:rFonts w:ascii="Book Antiqua" w:hAnsi="Book Antiqua" w:cstheme="majorBidi"/>
          <w:position w:val="-1"/>
          <w:sz w:val="24"/>
          <w:szCs w:val="24"/>
        </w:rPr>
        <w:t>d</w:t>
      </w:r>
      <w:r w:rsidRPr="00395463">
        <w:rPr>
          <w:rFonts w:ascii="Book Antiqua" w:hAnsi="Book Antiqua" w:cstheme="majorBidi"/>
          <w:spacing w:val="5"/>
          <w:position w:val="-1"/>
          <w:sz w:val="24"/>
          <w:szCs w:val="24"/>
        </w:rPr>
        <w:t>u</w:t>
      </w:r>
      <w:r w:rsidRPr="00395463">
        <w:rPr>
          <w:rFonts w:ascii="Book Antiqua" w:hAnsi="Book Antiqua" w:cstheme="majorBidi"/>
          <w:spacing w:val="-5"/>
          <w:position w:val="-1"/>
          <w:sz w:val="24"/>
          <w:szCs w:val="24"/>
        </w:rPr>
        <w:t>n</w:t>
      </w:r>
      <w:r w:rsidRPr="00395463">
        <w:rPr>
          <w:rFonts w:ascii="Book Antiqua" w:hAnsi="Book Antiqua" w:cstheme="majorBidi"/>
          <w:position w:val="-1"/>
          <w:sz w:val="24"/>
          <w:szCs w:val="24"/>
        </w:rPr>
        <w:t>g:</w:t>
      </w:r>
      <w:r w:rsidRPr="00395463">
        <w:rPr>
          <w:rFonts w:ascii="Book Antiqua" w:hAnsi="Book Antiqua" w:cstheme="majorBidi"/>
          <w:position w:val="-1"/>
          <w:sz w:val="24"/>
          <w:szCs w:val="24"/>
          <w:lang w:val="en-US"/>
        </w:rPr>
        <w:t xml:space="preserve"> </w:t>
      </w:r>
      <w:r w:rsidRPr="00395463">
        <w:rPr>
          <w:rFonts w:ascii="Book Antiqua" w:hAnsi="Book Antiqua" w:cstheme="majorBidi"/>
          <w:spacing w:val="6"/>
          <w:position w:val="-1"/>
          <w:sz w:val="24"/>
          <w:szCs w:val="24"/>
        </w:rPr>
        <w:t>S</w:t>
      </w:r>
      <w:r w:rsidRPr="00395463">
        <w:rPr>
          <w:rFonts w:ascii="Book Antiqua" w:hAnsi="Book Antiqua" w:cstheme="majorBidi"/>
          <w:spacing w:val="-10"/>
          <w:position w:val="-1"/>
          <w:sz w:val="24"/>
          <w:szCs w:val="24"/>
        </w:rPr>
        <w:t>y</w:t>
      </w:r>
      <w:r w:rsidRPr="00395463">
        <w:rPr>
          <w:rFonts w:ascii="Book Antiqua" w:hAnsi="Book Antiqua" w:cstheme="majorBidi"/>
          <w:spacing w:val="4"/>
          <w:position w:val="-1"/>
          <w:sz w:val="24"/>
          <w:szCs w:val="24"/>
        </w:rPr>
        <w:t>aa</w:t>
      </w:r>
      <w:r w:rsidRPr="00395463">
        <w:rPr>
          <w:rFonts w:ascii="Book Antiqua" w:hAnsi="Book Antiqua" w:cstheme="majorBidi"/>
          <w:spacing w:val="-4"/>
          <w:position w:val="-1"/>
          <w:sz w:val="24"/>
          <w:szCs w:val="24"/>
        </w:rPr>
        <w:t>m</w:t>
      </w:r>
      <w:r w:rsidRPr="00395463">
        <w:rPr>
          <w:rFonts w:ascii="Book Antiqua" w:hAnsi="Book Antiqua" w:cstheme="majorBidi"/>
          <w:position w:val="-1"/>
          <w:sz w:val="24"/>
          <w:szCs w:val="24"/>
        </w:rPr>
        <w:t>il</w:t>
      </w:r>
      <w:r w:rsidRPr="00395463">
        <w:rPr>
          <w:rFonts w:ascii="Book Antiqua" w:hAnsi="Book Antiqua" w:cstheme="majorBidi"/>
          <w:sz w:val="24"/>
          <w:szCs w:val="24"/>
          <w:lang w:val="en-US"/>
        </w:rPr>
        <w:t xml:space="preserve"> </w:t>
      </w:r>
      <w:r w:rsidRPr="00395463">
        <w:rPr>
          <w:rFonts w:ascii="Book Antiqua" w:hAnsi="Book Antiqua" w:cstheme="majorBidi"/>
          <w:sz w:val="24"/>
          <w:szCs w:val="24"/>
        </w:rPr>
        <w:t>Qu</w:t>
      </w:r>
      <w:r w:rsidRPr="00395463">
        <w:rPr>
          <w:rFonts w:ascii="Book Antiqua" w:hAnsi="Book Antiqua" w:cstheme="majorBidi"/>
          <w:spacing w:val="1"/>
          <w:sz w:val="24"/>
          <w:szCs w:val="24"/>
        </w:rPr>
        <w:t>r</w:t>
      </w:r>
      <w:r w:rsidRPr="00395463">
        <w:rPr>
          <w:rFonts w:ascii="Book Antiqua" w:hAnsi="Book Antiqua" w:cstheme="majorBidi"/>
          <w:spacing w:val="-1"/>
          <w:sz w:val="24"/>
          <w:szCs w:val="24"/>
        </w:rPr>
        <w:t>a</w:t>
      </w:r>
      <w:r w:rsidRPr="00395463">
        <w:rPr>
          <w:rFonts w:ascii="Book Antiqua" w:hAnsi="Book Antiqua" w:cstheme="majorBidi"/>
          <w:spacing w:val="-5"/>
          <w:sz w:val="24"/>
          <w:szCs w:val="24"/>
        </w:rPr>
        <w:t>n</w:t>
      </w:r>
      <w:r w:rsidRPr="00395463">
        <w:rPr>
          <w:rFonts w:ascii="Book Antiqua" w:hAnsi="Book Antiqua" w:cstheme="majorBidi"/>
          <w:sz w:val="24"/>
          <w:szCs w:val="24"/>
        </w:rPr>
        <w:t>,</w:t>
      </w:r>
      <w:r w:rsidRPr="00395463">
        <w:rPr>
          <w:rFonts w:ascii="Book Antiqua" w:hAnsi="Book Antiqua" w:cstheme="majorBidi"/>
          <w:spacing w:val="4"/>
          <w:sz w:val="24"/>
          <w:szCs w:val="24"/>
          <w:lang w:val="en-US"/>
        </w:rPr>
        <w:t xml:space="preserve"> </w:t>
      </w:r>
      <w:r w:rsidRPr="00395463">
        <w:rPr>
          <w:rFonts w:ascii="Book Antiqua" w:hAnsi="Book Antiqua" w:cstheme="majorBidi"/>
          <w:sz w:val="24"/>
          <w:szCs w:val="24"/>
        </w:rPr>
        <w:t>2011.</w:t>
      </w:r>
      <w:r>
        <w:rPr>
          <w:rFonts w:ascii="Book Antiqua" w:hAnsi="Book Antiqua" w:cstheme="majorBidi"/>
          <w:sz w:val="24"/>
          <w:szCs w:val="24"/>
          <w:lang w:val="en-US"/>
        </w:rPr>
        <w:t xml:space="preserve"> </w:t>
      </w:r>
    </w:p>
    <w:p w:rsidR="00661A5F" w:rsidRPr="00395463" w:rsidRDefault="00661A5F" w:rsidP="00BC12A6">
      <w:pPr>
        <w:pStyle w:val="FootnoteText"/>
        <w:spacing w:line="276" w:lineRule="auto"/>
        <w:ind w:left="709" w:hanging="709"/>
        <w:rPr>
          <w:rFonts w:ascii="Book Antiqua" w:hAnsi="Book Antiqua" w:cs="Times New Roman"/>
          <w:sz w:val="24"/>
          <w:szCs w:val="24"/>
          <w:lang w:val="en-US"/>
        </w:rPr>
      </w:pPr>
      <w:r w:rsidRPr="00395463">
        <w:rPr>
          <w:rFonts w:ascii="Book Antiqua" w:hAnsi="Book Antiqua" w:cs="Times New Roman"/>
          <w:sz w:val="24"/>
          <w:szCs w:val="24"/>
        </w:rPr>
        <w:t>S</w:t>
      </w:r>
      <w:r w:rsidRPr="00395463">
        <w:rPr>
          <w:rFonts w:ascii="Book Antiqua" w:hAnsi="Book Antiqua" w:cs="Times New Roman"/>
          <w:sz w:val="24"/>
          <w:szCs w:val="24"/>
          <w:lang w:val="en-US"/>
        </w:rPr>
        <w:t>a</w:t>
      </w:r>
      <w:r w:rsidRPr="00395463">
        <w:rPr>
          <w:rFonts w:ascii="Book Antiqua" w:hAnsi="Book Antiqua" w:cs="Times New Roman"/>
          <w:sz w:val="24"/>
          <w:szCs w:val="24"/>
        </w:rPr>
        <w:t xml:space="preserve">gimun. </w:t>
      </w:r>
      <w:r w:rsidRPr="00395463">
        <w:rPr>
          <w:rFonts w:ascii="Book Antiqua" w:hAnsi="Book Antiqua" w:cs="Times New Roman"/>
          <w:i/>
          <w:sz w:val="24"/>
          <w:szCs w:val="24"/>
        </w:rPr>
        <w:t>Sultan Hasanuddin Menentang VOC</w:t>
      </w:r>
      <w:r w:rsidRPr="00395463">
        <w:rPr>
          <w:rFonts w:ascii="Book Antiqua" w:hAnsi="Book Antiqua" w:cs="Times New Roman"/>
          <w:sz w:val="24"/>
          <w:szCs w:val="24"/>
        </w:rPr>
        <w:t xml:space="preserve">. Departemen Pendidikan dan Kebudayaan, Jakarta 1985. </w:t>
      </w:r>
    </w:p>
    <w:p w:rsidR="00661A5F" w:rsidRPr="00395463" w:rsidRDefault="00661A5F" w:rsidP="00BC12A6">
      <w:pPr>
        <w:pStyle w:val="FootnoteText"/>
        <w:spacing w:line="276" w:lineRule="auto"/>
        <w:ind w:left="709" w:hanging="709"/>
        <w:rPr>
          <w:rFonts w:ascii="Book Antiqua" w:hAnsi="Book Antiqua"/>
          <w:sz w:val="24"/>
          <w:szCs w:val="24"/>
          <w:lang w:val="en-US"/>
        </w:rPr>
      </w:pPr>
      <w:r w:rsidRPr="00395463">
        <w:rPr>
          <w:rFonts w:ascii="Book Antiqua" w:hAnsi="Book Antiqua" w:cs="Times New Roman"/>
          <w:sz w:val="24"/>
          <w:szCs w:val="24"/>
        </w:rPr>
        <w:t>S</w:t>
      </w:r>
      <w:r w:rsidRPr="00395463">
        <w:rPr>
          <w:rFonts w:ascii="Book Antiqua" w:hAnsi="Book Antiqua" w:cs="Times New Roman"/>
          <w:sz w:val="24"/>
          <w:szCs w:val="24"/>
          <w:lang w:val="en-US"/>
        </w:rPr>
        <w:t>a</w:t>
      </w:r>
      <w:r w:rsidRPr="00395463">
        <w:rPr>
          <w:rFonts w:ascii="Book Antiqua" w:hAnsi="Book Antiqua" w:cs="Times New Roman"/>
          <w:sz w:val="24"/>
          <w:szCs w:val="24"/>
        </w:rPr>
        <w:t xml:space="preserve">gimun. </w:t>
      </w:r>
      <w:r w:rsidRPr="00395463">
        <w:rPr>
          <w:rFonts w:ascii="Book Antiqua" w:hAnsi="Book Antiqua" w:cs="Times New Roman"/>
          <w:i/>
          <w:sz w:val="24"/>
          <w:szCs w:val="24"/>
        </w:rPr>
        <w:t>Sultan Hasanuddin Menentang VOC</w:t>
      </w:r>
      <w:r w:rsidRPr="00395463">
        <w:rPr>
          <w:rFonts w:ascii="Book Antiqua" w:hAnsi="Book Antiqua" w:cs="Times New Roman"/>
          <w:sz w:val="24"/>
          <w:szCs w:val="24"/>
        </w:rPr>
        <w:t xml:space="preserve">. Departemen Pendidikan dan Kebudayaan, Jakarta 1985. </w:t>
      </w:r>
    </w:p>
    <w:p w:rsidR="00661A5F" w:rsidRPr="00395463" w:rsidRDefault="00BC12A6" w:rsidP="00BC12A6">
      <w:pPr>
        <w:pStyle w:val="FootnoteText"/>
        <w:spacing w:line="276" w:lineRule="auto"/>
        <w:rPr>
          <w:rFonts w:ascii="Book Antiqua" w:hAnsi="Book Antiqua" w:cs="Times New Roman"/>
          <w:sz w:val="24"/>
          <w:szCs w:val="24"/>
          <w:lang w:val="en-US"/>
        </w:rPr>
      </w:pPr>
      <w:r>
        <w:rPr>
          <w:rFonts w:ascii="Book Antiqua" w:hAnsi="Book Antiqua" w:cs="Times New Roman"/>
          <w:sz w:val="24"/>
          <w:szCs w:val="24"/>
        </w:rPr>
        <w:t>Sutrisni</w:t>
      </w:r>
      <w:r>
        <w:rPr>
          <w:rFonts w:ascii="Book Antiqua" w:hAnsi="Book Antiqua" w:cs="Times New Roman"/>
          <w:sz w:val="24"/>
          <w:szCs w:val="24"/>
          <w:lang w:val="en-US"/>
        </w:rPr>
        <w:t xml:space="preserve">, </w:t>
      </w:r>
      <w:r>
        <w:rPr>
          <w:rFonts w:ascii="Book Antiqua" w:hAnsi="Book Antiqua" w:cs="Times New Roman"/>
          <w:sz w:val="24"/>
          <w:szCs w:val="24"/>
        </w:rPr>
        <w:t>Kutoyo</w:t>
      </w:r>
      <w:r>
        <w:rPr>
          <w:rFonts w:ascii="Book Antiqua" w:hAnsi="Book Antiqua" w:cs="Times New Roman"/>
          <w:sz w:val="24"/>
          <w:szCs w:val="24"/>
          <w:lang w:val="en-US"/>
        </w:rPr>
        <w:t xml:space="preserve">, </w:t>
      </w:r>
      <w:r w:rsidR="00661A5F" w:rsidRPr="00395463">
        <w:rPr>
          <w:rFonts w:ascii="Book Antiqua" w:hAnsi="Book Antiqua" w:cs="Times New Roman"/>
          <w:i/>
          <w:sz w:val="24"/>
          <w:szCs w:val="24"/>
        </w:rPr>
        <w:t>Sultan Hasanuddin</w:t>
      </w:r>
      <w:r w:rsidR="00661A5F" w:rsidRPr="00395463">
        <w:rPr>
          <w:rFonts w:ascii="Book Antiqua" w:hAnsi="Book Antiqua" w:cs="Times New Roman"/>
          <w:sz w:val="24"/>
          <w:szCs w:val="24"/>
        </w:rPr>
        <w:t>. Mutiara Sumber Widya. Jakarta, 2010.</w:t>
      </w:r>
    </w:p>
    <w:p w:rsidR="00BC12A6" w:rsidRPr="00395463" w:rsidRDefault="00BC12A6" w:rsidP="00BC12A6">
      <w:pPr>
        <w:pStyle w:val="FootnoteText"/>
        <w:spacing w:line="276" w:lineRule="auto"/>
        <w:ind w:left="709" w:hanging="709"/>
        <w:rPr>
          <w:rFonts w:ascii="Book Antiqua" w:hAnsi="Book Antiqua" w:cs="Times New Roman"/>
          <w:sz w:val="24"/>
          <w:szCs w:val="24"/>
        </w:rPr>
      </w:pPr>
      <w:r w:rsidRPr="00395463">
        <w:rPr>
          <w:rFonts w:ascii="Book Antiqua" w:hAnsi="Book Antiqua" w:cs="Times New Roman"/>
          <w:sz w:val="24"/>
          <w:szCs w:val="24"/>
        </w:rPr>
        <w:t>Yusuf, A. Muri”Metode Penelitian Kuantitatif,Kualitatif, dan Penelitian Gabungan”,(J</w:t>
      </w:r>
      <w:r>
        <w:rPr>
          <w:rFonts w:ascii="Book Antiqua" w:hAnsi="Book Antiqua" w:cs="Times New Roman"/>
          <w:sz w:val="24"/>
          <w:szCs w:val="24"/>
        </w:rPr>
        <w:t>akarta:Prenadamedia Group,2014)</w:t>
      </w:r>
      <w:r w:rsidRPr="00395463">
        <w:rPr>
          <w:rFonts w:ascii="Book Antiqua" w:hAnsi="Book Antiqua" w:cs="Times New Roman"/>
          <w:sz w:val="24"/>
          <w:szCs w:val="24"/>
        </w:rPr>
        <w:t>.</w:t>
      </w:r>
    </w:p>
    <w:p w:rsidR="00BC12A6" w:rsidRPr="00BC12A6" w:rsidRDefault="00BC12A6" w:rsidP="00BC12A6">
      <w:pPr>
        <w:spacing w:before="84"/>
        <w:ind w:left="709" w:right="284" w:hanging="709"/>
        <w:rPr>
          <w:rFonts w:ascii="Book Antiqua" w:hAnsi="Book Antiqua"/>
          <w:sz w:val="24"/>
          <w:szCs w:val="24"/>
          <w:lang w:val="en-US"/>
        </w:rPr>
      </w:pPr>
    </w:p>
    <w:p w:rsidR="00661A5F" w:rsidRPr="001B3A82" w:rsidRDefault="00661A5F" w:rsidP="00661A5F">
      <w:pPr>
        <w:pStyle w:val="FootnoteText"/>
      </w:pPr>
    </w:p>
    <w:p w:rsidR="0008654D" w:rsidRPr="00AF2B0A" w:rsidRDefault="0008654D" w:rsidP="00CF4BEB">
      <w:pPr>
        <w:rPr>
          <w:rFonts w:ascii="Book Antiqua" w:hAnsi="Book Antiqua"/>
          <w:sz w:val="24"/>
          <w:szCs w:val="24"/>
        </w:rPr>
      </w:pPr>
    </w:p>
    <w:sectPr w:rsidR="0008654D" w:rsidRPr="00AF2B0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006" w:rsidRDefault="00E51006" w:rsidP="00F43A59">
      <w:pPr>
        <w:spacing w:after="0" w:line="240" w:lineRule="auto"/>
      </w:pPr>
      <w:r>
        <w:separator/>
      </w:r>
    </w:p>
  </w:endnote>
  <w:endnote w:type="continuationSeparator" w:id="0">
    <w:p w:rsidR="00E51006" w:rsidRDefault="00E51006" w:rsidP="00F4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006" w:rsidRDefault="00E51006" w:rsidP="00F43A59">
      <w:pPr>
        <w:spacing w:after="0" w:line="240" w:lineRule="auto"/>
      </w:pPr>
      <w:r>
        <w:separator/>
      </w:r>
    </w:p>
  </w:footnote>
  <w:footnote w:type="continuationSeparator" w:id="0">
    <w:p w:rsidR="00E51006" w:rsidRDefault="00E51006" w:rsidP="00F43A59">
      <w:pPr>
        <w:spacing w:after="0" w:line="240" w:lineRule="auto"/>
      </w:pPr>
      <w:r>
        <w:continuationSeparator/>
      </w:r>
    </w:p>
  </w:footnote>
  <w:footnote w:id="1">
    <w:p w:rsidR="00A17DAA" w:rsidRPr="00233A24" w:rsidRDefault="00A17DAA" w:rsidP="00A17DAA">
      <w:pPr>
        <w:tabs>
          <w:tab w:val="left" w:pos="993"/>
        </w:tabs>
        <w:spacing w:after="0" w:line="240" w:lineRule="exact"/>
        <w:ind w:firstLine="720"/>
        <w:rPr>
          <w:rFonts w:ascii="Times New Roman" w:hAnsi="Times New Roman"/>
          <w:sz w:val="20"/>
          <w:szCs w:val="20"/>
          <w:lang w:val="en-US"/>
        </w:rPr>
      </w:pPr>
      <w:r w:rsidRPr="00925BD6">
        <w:rPr>
          <w:rStyle w:val="FootnoteReference"/>
        </w:rPr>
        <w:footnoteRef/>
      </w:r>
      <w:r w:rsidRPr="00B60534">
        <w:rPr>
          <w:rFonts w:ascii="Times New Roman" w:hAnsi="Times New Roman" w:cs="Times New Roman"/>
          <w:sz w:val="20"/>
          <w:szCs w:val="20"/>
        </w:rPr>
        <w:t xml:space="preserve"> </w:t>
      </w:r>
      <w:r w:rsidRPr="00B60534">
        <w:rPr>
          <w:rFonts w:ascii="Times New Roman" w:hAnsi="Times New Roman" w:cs="Times New Roman"/>
          <w:sz w:val="20"/>
          <w:szCs w:val="20"/>
          <w:lang w:val="en-US"/>
        </w:rPr>
        <w:t>Bahri, “</w:t>
      </w:r>
      <w:r w:rsidRPr="00B60534">
        <w:rPr>
          <w:rFonts w:ascii="Times New Roman" w:hAnsi="Times New Roman" w:cs="Times New Roman"/>
          <w:i/>
          <w:sz w:val="20"/>
          <w:szCs w:val="20"/>
          <w:lang w:val="en-US"/>
        </w:rPr>
        <w:t xml:space="preserve">Perebutan Panggadereng di Kerajaan LOkal di Jazirah Sulawesi Selatan Abad XV-XVII” </w:t>
      </w:r>
      <w:r w:rsidRPr="00B60534">
        <w:rPr>
          <w:rFonts w:ascii="Times New Roman" w:hAnsi="Times New Roman" w:cs="Times New Roman"/>
          <w:sz w:val="20"/>
          <w:szCs w:val="20"/>
          <w:lang w:val="en-US"/>
        </w:rPr>
        <w:t>Pendidikan Sejarah Fakultas Ilmu Sosial, UNM Vol 12, no 1, September 2016, h.6.</w:t>
      </w:r>
    </w:p>
  </w:footnote>
  <w:footnote w:id="2">
    <w:p w:rsidR="00A17DAA" w:rsidRPr="00FE547E" w:rsidRDefault="00A17DAA" w:rsidP="00A17DAA">
      <w:pPr>
        <w:pStyle w:val="FootnoteText"/>
        <w:ind w:firstLine="709"/>
        <w:jc w:val="both"/>
        <w:rPr>
          <w:rFonts w:ascii="Times New Roman" w:hAnsi="Times New Roman" w:cs="Times New Roman"/>
          <w:lang w:val="en-US"/>
        </w:rPr>
      </w:pPr>
      <w:r w:rsidRPr="00925BD6">
        <w:rPr>
          <w:rStyle w:val="FootnoteReference"/>
        </w:rPr>
        <w:footnoteRef/>
      </w:r>
      <w:r w:rsidRPr="00FE547E">
        <w:rPr>
          <w:rFonts w:ascii="Times New Roman" w:hAnsi="Times New Roman" w:cs="Times New Roman"/>
        </w:rPr>
        <w:t xml:space="preserve"> Mattulada, Sejarah, Masyarakat dan Kebudayaan Sulawesi Selatan, (Cet. I, Ujung Pandang: Hasanuddin University Press, 1998), h. 162</w:t>
      </w:r>
    </w:p>
  </w:footnote>
  <w:footnote w:id="3">
    <w:p w:rsidR="00CF4BEB" w:rsidRPr="00FF13B9" w:rsidRDefault="00CF4BEB" w:rsidP="00CF4BEB">
      <w:pPr>
        <w:pStyle w:val="FootnoteText"/>
        <w:ind w:firstLine="709"/>
        <w:rPr>
          <w:rFonts w:ascii="Times New Roman" w:hAnsi="Times New Roman" w:cs="Times New Roman"/>
        </w:rPr>
      </w:pPr>
      <w:r w:rsidRPr="00925BD6">
        <w:rPr>
          <w:rStyle w:val="FootnoteReference"/>
        </w:rPr>
        <w:footnoteRef/>
      </w:r>
      <w:r w:rsidRPr="00FF13B9">
        <w:rPr>
          <w:rFonts w:ascii="Times New Roman" w:hAnsi="Times New Roman" w:cs="Times New Roman"/>
        </w:rPr>
        <w:t>A. Muri Yusuf,”Metode Penelitian Kuantitatif,Kualitatif, dan Penelitian Gabungan”,(Jakarta:Prenadamedia Group,2014),h.</w:t>
      </w:r>
      <w:r>
        <w:rPr>
          <w:rFonts w:ascii="Times New Roman" w:hAnsi="Times New Roman" w:cs="Times New Roman"/>
        </w:rPr>
        <w:t xml:space="preserve"> </w:t>
      </w:r>
      <w:r w:rsidRPr="00FF13B9">
        <w:rPr>
          <w:rFonts w:ascii="Times New Roman" w:hAnsi="Times New Roman" w:cs="Times New Roman"/>
        </w:rPr>
        <w:t>329.</w:t>
      </w:r>
    </w:p>
  </w:footnote>
  <w:footnote w:id="4">
    <w:p w:rsidR="00D05F92" w:rsidRPr="00BD2743" w:rsidRDefault="00D05F92" w:rsidP="00D05F92">
      <w:pPr>
        <w:pStyle w:val="FootnoteText"/>
        <w:spacing w:before="120"/>
        <w:ind w:firstLine="709"/>
        <w:jc w:val="both"/>
        <w:rPr>
          <w:rFonts w:ascii="Times New Roman" w:hAnsi="Times New Roman" w:cs="Times New Roman"/>
        </w:rPr>
      </w:pPr>
      <w:r w:rsidRPr="00925BD6">
        <w:rPr>
          <w:rStyle w:val="FootnoteReference"/>
        </w:rPr>
        <w:footnoteRef/>
      </w:r>
      <w:r w:rsidRPr="00BD2743">
        <w:rPr>
          <w:rFonts w:ascii="Times New Roman" w:hAnsi="Times New Roman" w:cs="Times New Roman"/>
        </w:rPr>
        <w:t>Nugroho Notosusanto</w:t>
      </w:r>
      <w:r w:rsidRPr="00BD2743">
        <w:rPr>
          <w:rFonts w:ascii="Times New Roman" w:hAnsi="Times New Roman" w:cs="Times New Roman"/>
          <w:i/>
        </w:rPr>
        <w:t>, Mengerti Sejarah</w:t>
      </w:r>
      <w:r w:rsidRPr="00BD2743">
        <w:rPr>
          <w:rFonts w:ascii="Times New Roman" w:hAnsi="Times New Roman" w:cs="Times New Roman"/>
        </w:rPr>
        <w:t xml:space="preserve"> (Jakarta: Penerbit Universitas Indonesia,1986), h.</w:t>
      </w:r>
      <w:r>
        <w:rPr>
          <w:rFonts w:ascii="Times New Roman" w:hAnsi="Times New Roman" w:cs="Times New Roman"/>
        </w:rPr>
        <w:t xml:space="preserve"> </w:t>
      </w:r>
      <w:r w:rsidRPr="00BD2743">
        <w:rPr>
          <w:rFonts w:ascii="Times New Roman" w:hAnsi="Times New Roman" w:cs="Times New Roman"/>
        </w:rPr>
        <w:t>32-33</w:t>
      </w:r>
    </w:p>
  </w:footnote>
  <w:footnote w:id="5">
    <w:p w:rsidR="00F43A59" w:rsidRPr="00B60534" w:rsidRDefault="00F43A59" w:rsidP="00F43A59">
      <w:pPr>
        <w:pStyle w:val="FootnoteText"/>
        <w:spacing w:line="240" w:lineRule="exact"/>
        <w:ind w:firstLine="720"/>
        <w:rPr>
          <w:rFonts w:ascii="Times New Roman" w:hAnsi="Times New Roman" w:cs="Times New Roman"/>
          <w:lang w:val="en-US"/>
        </w:rPr>
      </w:pPr>
      <w:r w:rsidRPr="00925BD6">
        <w:rPr>
          <w:rStyle w:val="FootnoteReference"/>
        </w:rPr>
        <w:footnoteRef/>
      </w:r>
      <w:r w:rsidRPr="00B60534">
        <w:rPr>
          <w:rFonts w:ascii="Times New Roman" w:hAnsi="Times New Roman" w:cs="Times New Roman"/>
        </w:rPr>
        <w:t xml:space="preserve"> S</w:t>
      </w:r>
      <w:r w:rsidRPr="00B60534">
        <w:rPr>
          <w:rFonts w:ascii="Times New Roman" w:hAnsi="Times New Roman" w:cs="Times New Roman"/>
          <w:lang w:val="en-US"/>
        </w:rPr>
        <w:t>a</w:t>
      </w:r>
      <w:r w:rsidRPr="00B60534">
        <w:rPr>
          <w:rFonts w:ascii="Times New Roman" w:hAnsi="Times New Roman" w:cs="Times New Roman"/>
        </w:rPr>
        <w:t xml:space="preserve">gimun. </w:t>
      </w:r>
      <w:r w:rsidRPr="00B60534">
        <w:rPr>
          <w:rFonts w:ascii="Times New Roman" w:hAnsi="Times New Roman" w:cs="Times New Roman"/>
          <w:i/>
        </w:rPr>
        <w:t>Sultan Hasanuddin Menentang VOC</w:t>
      </w:r>
      <w:r w:rsidRPr="00B60534">
        <w:rPr>
          <w:rFonts w:ascii="Times New Roman" w:hAnsi="Times New Roman" w:cs="Times New Roman"/>
        </w:rPr>
        <w:t>. Departemen Pendidikan dan Kebudayaan, Jakarta 1985. h.214-227</w:t>
      </w:r>
    </w:p>
  </w:footnote>
  <w:footnote w:id="6">
    <w:p w:rsidR="00F43A59" w:rsidRPr="00B60534" w:rsidRDefault="00F43A59" w:rsidP="00F43A59">
      <w:pPr>
        <w:pStyle w:val="FootnoteText"/>
        <w:spacing w:line="240" w:lineRule="exact"/>
        <w:ind w:firstLine="720"/>
        <w:rPr>
          <w:rFonts w:ascii="Times New Roman" w:hAnsi="Times New Roman" w:cs="Times New Roman"/>
        </w:rPr>
      </w:pPr>
      <w:r w:rsidRPr="00925BD6">
        <w:rPr>
          <w:rStyle w:val="FootnoteReference"/>
        </w:rPr>
        <w:footnoteRef/>
      </w:r>
      <w:r w:rsidRPr="009B19C6">
        <w:rPr>
          <w:rFonts w:ascii="Times New Roman" w:hAnsi="Times New Roman" w:cs="Times New Roman"/>
        </w:rPr>
        <w:t xml:space="preserve"> </w:t>
      </w:r>
      <w:r>
        <w:rPr>
          <w:rFonts w:ascii="Times New Roman" w:hAnsi="Times New Roman" w:cs="Times New Roman"/>
        </w:rPr>
        <w:t>A</w:t>
      </w:r>
      <w:r>
        <w:rPr>
          <w:rFonts w:ascii="Times New Roman" w:hAnsi="Times New Roman" w:cs="Times New Roman"/>
          <w:lang w:val="en-US"/>
        </w:rPr>
        <w:t>bd</w:t>
      </w:r>
      <w:r w:rsidRPr="00B60534">
        <w:rPr>
          <w:rFonts w:ascii="Times New Roman" w:hAnsi="Times New Roman" w:cs="Times New Roman"/>
        </w:rPr>
        <w:t xml:space="preserve">. Razak Daeng Patunru,  </w:t>
      </w:r>
      <w:r w:rsidRPr="00B60534">
        <w:rPr>
          <w:rFonts w:ascii="Times New Roman" w:hAnsi="Times New Roman" w:cs="Times New Roman"/>
          <w:i/>
        </w:rPr>
        <w:t>Sejarah Gowa</w:t>
      </w:r>
      <w:r w:rsidRPr="00B60534">
        <w:rPr>
          <w:rFonts w:ascii="Times New Roman" w:hAnsi="Times New Roman" w:cs="Times New Roman"/>
        </w:rPr>
        <w:t>,  (Ujung Pandang : Yayasan Kebudayaan S</w:t>
      </w:r>
      <w:r>
        <w:rPr>
          <w:rFonts w:ascii="Times New Roman" w:hAnsi="Times New Roman" w:cs="Times New Roman"/>
        </w:rPr>
        <w:t xml:space="preserve">ul-Sel di Makassar, 1983), h. </w:t>
      </w:r>
      <w:r>
        <w:rPr>
          <w:rFonts w:ascii="Times New Roman" w:hAnsi="Times New Roman" w:cs="Times New Roman"/>
          <w:lang w:val="en-US"/>
        </w:rPr>
        <w:t>50-55</w:t>
      </w:r>
      <w:r w:rsidRPr="00B60534">
        <w:rPr>
          <w:rFonts w:ascii="Times New Roman" w:hAnsi="Times New Roman" w:cs="Times New Roman"/>
        </w:rPr>
        <w:t>.</w:t>
      </w:r>
    </w:p>
    <w:p w:rsidR="00F43A59" w:rsidRPr="00627E1F" w:rsidRDefault="00F43A59" w:rsidP="00F43A59">
      <w:pPr>
        <w:pStyle w:val="FootnoteText"/>
        <w:ind w:firstLine="720"/>
        <w:rPr>
          <w:rFonts w:ascii="Times New Roman" w:hAnsi="Times New Roman" w:cs="Times New Roman"/>
        </w:rPr>
      </w:pPr>
    </w:p>
  </w:footnote>
  <w:footnote w:id="7">
    <w:p w:rsidR="00F43A59" w:rsidRPr="00506549" w:rsidRDefault="00F43A59" w:rsidP="00F43A59">
      <w:pPr>
        <w:pStyle w:val="FootnoteText"/>
        <w:ind w:firstLine="720"/>
        <w:rPr>
          <w:rFonts w:ascii="Times New Roman" w:hAnsi="Times New Roman" w:cs="Times New Roman"/>
          <w:lang w:val="en-US"/>
        </w:rPr>
      </w:pPr>
      <w:r w:rsidRPr="00925BD6">
        <w:rPr>
          <w:rStyle w:val="FootnoteReference"/>
        </w:rPr>
        <w:footnoteRef/>
      </w:r>
      <w:r w:rsidRPr="00506549">
        <w:rPr>
          <w:rFonts w:ascii="Times New Roman" w:hAnsi="Times New Roman" w:cs="Times New Roman"/>
        </w:rPr>
        <w:t xml:space="preserve"> Muchlis Paeni, “Membedah Perjanjian Bongaya” (Makalah yang disajikan pada Seminar Membedah Perjanjian Bongaya 1667 oleh Kementerian Koordinator Bidang Maritim dan Sumberdaya Republik Indonesia, Makassar, 21 Desember 2015), h. 6.</w:t>
      </w:r>
    </w:p>
  </w:footnote>
  <w:footnote w:id="8">
    <w:p w:rsidR="00F43A59" w:rsidRPr="00506549" w:rsidRDefault="00F43A59" w:rsidP="00F43A59">
      <w:pPr>
        <w:pStyle w:val="FootnoteText"/>
        <w:ind w:firstLine="720"/>
        <w:rPr>
          <w:rFonts w:ascii="Times New Roman" w:hAnsi="Times New Roman" w:cs="Times New Roman"/>
          <w:lang w:val="en-US"/>
        </w:rPr>
      </w:pPr>
      <w:r w:rsidRPr="00925BD6">
        <w:rPr>
          <w:rStyle w:val="FootnoteReference"/>
        </w:rPr>
        <w:footnoteRef/>
      </w:r>
      <w:r w:rsidRPr="00506549">
        <w:rPr>
          <w:rFonts w:ascii="Times New Roman" w:hAnsi="Times New Roman" w:cs="Times New Roman"/>
        </w:rPr>
        <w:t xml:space="preserve"> Harun Nasution, Teologi Islam; Aliran Sejarah Analisa Perbandingan, (Jakarta: Universitas Indonesia Press, 2013), h. 24-25.</w:t>
      </w:r>
    </w:p>
  </w:footnote>
  <w:footnote w:id="9">
    <w:p w:rsidR="00F43A59" w:rsidRPr="00506549" w:rsidRDefault="00F43A59" w:rsidP="00F43A59">
      <w:pPr>
        <w:pStyle w:val="FootnoteText"/>
        <w:ind w:firstLine="720"/>
        <w:rPr>
          <w:rFonts w:ascii="Times New Roman" w:hAnsi="Times New Roman" w:cs="Times New Roman"/>
          <w:lang w:val="en-US"/>
        </w:rPr>
      </w:pPr>
      <w:r w:rsidRPr="00925BD6">
        <w:rPr>
          <w:rStyle w:val="FootnoteReference"/>
        </w:rPr>
        <w:footnoteRef/>
      </w:r>
      <w:r w:rsidRPr="00506549">
        <w:rPr>
          <w:rFonts w:ascii="Times New Roman" w:hAnsi="Times New Roman" w:cs="Times New Roman"/>
        </w:rPr>
        <w:t xml:space="preserve"> Mattulada, Sejarah, Masyarakat dan Kebudayaan Sulawesi Selatan, (Cet. I, Ujung Pandang: Hasanuddin University Press, 1998), h. 299</w:t>
      </w:r>
      <w:r w:rsidRPr="00506549">
        <w:rPr>
          <w:rFonts w:ascii="Times New Roman" w:hAnsi="Times New Roman" w:cs="Times New Roman"/>
          <w:lang w:val="en-US"/>
        </w:rPr>
        <w:t>.</w:t>
      </w:r>
    </w:p>
  </w:footnote>
  <w:footnote w:id="10">
    <w:p w:rsidR="00F43A59" w:rsidRPr="00506549" w:rsidRDefault="00F43A59" w:rsidP="00F43A59">
      <w:pPr>
        <w:pStyle w:val="FootnoteText"/>
        <w:ind w:firstLine="720"/>
        <w:rPr>
          <w:rFonts w:ascii="Times New Roman" w:hAnsi="Times New Roman" w:cs="Times New Roman"/>
          <w:lang w:val="en-US"/>
        </w:rPr>
      </w:pPr>
      <w:r w:rsidRPr="00925BD6">
        <w:rPr>
          <w:rStyle w:val="FootnoteReference"/>
        </w:rPr>
        <w:footnoteRef/>
      </w:r>
      <w:r>
        <w:t xml:space="preserve"> </w:t>
      </w:r>
      <w:r w:rsidRPr="00506549">
        <w:rPr>
          <w:rFonts w:ascii="Times New Roman" w:hAnsi="Times New Roman" w:cs="Times New Roman"/>
        </w:rPr>
        <w:t>Leonard Y. Andaya, The Heritage of Arung Palakka: A History of South Sulawesi (Celebes) in the Seventeenth Century, terj. Nurhady Simorok, Warisan Arung Palakka: Sejarah Sulawesi Selatan Abad ke-17, h. 162</w:t>
      </w:r>
    </w:p>
  </w:footnote>
  <w:footnote w:id="11">
    <w:p w:rsidR="00F43A59" w:rsidRPr="00005ED4" w:rsidRDefault="00F43A59" w:rsidP="00F43A59">
      <w:pPr>
        <w:pStyle w:val="FootnoteText"/>
        <w:ind w:firstLine="720"/>
        <w:rPr>
          <w:rFonts w:ascii="Times New Roman" w:hAnsi="Times New Roman" w:cs="Times New Roman"/>
          <w:lang w:val="en-US"/>
        </w:rPr>
      </w:pPr>
      <w:r w:rsidRPr="00925BD6">
        <w:rPr>
          <w:rStyle w:val="FootnoteReference"/>
        </w:rPr>
        <w:footnoteRef/>
      </w:r>
      <w:r w:rsidRPr="00005ED4">
        <w:rPr>
          <w:rFonts w:ascii="Times New Roman" w:hAnsi="Times New Roman" w:cs="Times New Roman"/>
        </w:rPr>
        <w:t xml:space="preserve"> Abu Haif, Ritual Dalam Tradisi Mappanre Tasi Nelayan Bugis di Pagatan Kabupaten Tanah Bumbu Kalimantan Selatan: Akulturasi Islam dan Budaya Lokal, “Disertasi”, (Makassar: UIN Alauddin Makassar, 2018), h. 51.</w:t>
      </w:r>
    </w:p>
  </w:footnote>
  <w:footnote w:id="12">
    <w:p w:rsidR="00F43A59" w:rsidRPr="00B92C5B" w:rsidRDefault="00F43A59" w:rsidP="00F43A59">
      <w:pPr>
        <w:pStyle w:val="FootnoteText"/>
        <w:spacing w:line="240" w:lineRule="exact"/>
        <w:ind w:firstLine="720"/>
        <w:rPr>
          <w:lang w:val="en-US"/>
        </w:rPr>
      </w:pPr>
      <w:r w:rsidRPr="00925BD6">
        <w:rPr>
          <w:rStyle w:val="FootnoteReference"/>
        </w:rPr>
        <w:footnoteRef/>
      </w:r>
      <w:r w:rsidRPr="00B60534">
        <w:rPr>
          <w:rFonts w:ascii="Times New Roman" w:hAnsi="Times New Roman" w:cs="Times New Roman"/>
        </w:rPr>
        <w:t xml:space="preserve"> S</w:t>
      </w:r>
      <w:r w:rsidRPr="00B60534">
        <w:rPr>
          <w:rFonts w:ascii="Times New Roman" w:hAnsi="Times New Roman" w:cs="Times New Roman"/>
          <w:lang w:val="en-US"/>
        </w:rPr>
        <w:t>a</w:t>
      </w:r>
      <w:r w:rsidRPr="00B60534">
        <w:rPr>
          <w:rFonts w:ascii="Times New Roman" w:hAnsi="Times New Roman" w:cs="Times New Roman"/>
        </w:rPr>
        <w:t xml:space="preserve">gimun. </w:t>
      </w:r>
      <w:r w:rsidRPr="00B60534">
        <w:rPr>
          <w:rFonts w:ascii="Times New Roman" w:hAnsi="Times New Roman" w:cs="Times New Roman"/>
          <w:i/>
        </w:rPr>
        <w:t>Sultan Hasanuddin Menentang VOC</w:t>
      </w:r>
      <w:r w:rsidRPr="00B60534">
        <w:rPr>
          <w:rFonts w:ascii="Times New Roman" w:hAnsi="Times New Roman" w:cs="Times New Roman"/>
        </w:rPr>
        <w:t>. Departemen Pendidikan dan Kebudayaan, Jakarta 1985. h.2</w:t>
      </w:r>
      <w:r w:rsidRPr="00B60534">
        <w:rPr>
          <w:rFonts w:ascii="Times New Roman" w:hAnsi="Times New Roman" w:cs="Times New Roman"/>
          <w:lang w:val="en-US"/>
        </w:rPr>
        <w:t>43-246</w:t>
      </w:r>
    </w:p>
  </w:footnote>
  <w:footnote w:id="13">
    <w:p w:rsidR="00F43A59" w:rsidRPr="00B60534" w:rsidRDefault="00F43A59" w:rsidP="00F43A59">
      <w:pPr>
        <w:pStyle w:val="FootnoteText"/>
        <w:spacing w:line="240" w:lineRule="exact"/>
        <w:ind w:firstLine="720"/>
        <w:rPr>
          <w:rFonts w:ascii="Times New Roman" w:hAnsi="Times New Roman" w:cs="Times New Roman"/>
          <w:lang w:val="en-US"/>
        </w:rPr>
      </w:pPr>
      <w:r w:rsidRPr="00925BD6">
        <w:rPr>
          <w:rStyle w:val="FootnoteReference"/>
        </w:rPr>
        <w:footnoteRef/>
      </w:r>
      <w:r w:rsidRPr="00B60534">
        <w:rPr>
          <w:rFonts w:ascii="Times New Roman" w:hAnsi="Times New Roman" w:cs="Times New Roman"/>
        </w:rPr>
        <w:t xml:space="preserve"> S</w:t>
      </w:r>
      <w:r w:rsidRPr="00B60534">
        <w:rPr>
          <w:rFonts w:ascii="Times New Roman" w:hAnsi="Times New Roman" w:cs="Times New Roman"/>
          <w:lang w:val="en-US"/>
        </w:rPr>
        <w:t>a</w:t>
      </w:r>
      <w:r w:rsidRPr="00B60534">
        <w:rPr>
          <w:rFonts w:ascii="Times New Roman" w:hAnsi="Times New Roman" w:cs="Times New Roman"/>
        </w:rPr>
        <w:t xml:space="preserve">gimun. </w:t>
      </w:r>
      <w:r w:rsidRPr="00B60534">
        <w:rPr>
          <w:rFonts w:ascii="Times New Roman" w:hAnsi="Times New Roman" w:cs="Times New Roman"/>
          <w:i/>
        </w:rPr>
        <w:t>Sultan Hasanuddin Menentang VOC</w:t>
      </w:r>
      <w:r w:rsidRPr="00B60534">
        <w:rPr>
          <w:rFonts w:ascii="Times New Roman" w:hAnsi="Times New Roman" w:cs="Times New Roman"/>
        </w:rPr>
        <w:t>. Departemen Pendidikan dan Kebudayaan, Jakarta 1985. h.2</w:t>
      </w:r>
      <w:r w:rsidRPr="00B60534">
        <w:rPr>
          <w:rFonts w:ascii="Times New Roman" w:hAnsi="Times New Roman" w:cs="Times New Roman"/>
          <w:lang w:val="en-US"/>
        </w:rPr>
        <w:t>49-251</w:t>
      </w:r>
    </w:p>
  </w:footnote>
  <w:footnote w:id="14">
    <w:p w:rsidR="00F43A59" w:rsidRPr="00B60534" w:rsidRDefault="00F43A59" w:rsidP="00F43A59">
      <w:pPr>
        <w:pStyle w:val="FootnoteText"/>
        <w:spacing w:line="240" w:lineRule="exact"/>
        <w:ind w:firstLine="720"/>
        <w:rPr>
          <w:rFonts w:ascii="Times New Roman" w:hAnsi="Times New Roman" w:cs="Times New Roman"/>
          <w:lang w:val="en-US"/>
        </w:rPr>
      </w:pPr>
      <w:r w:rsidRPr="00925BD6">
        <w:rPr>
          <w:rStyle w:val="FootnoteReference"/>
        </w:rPr>
        <w:footnoteRef/>
      </w:r>
      <w:r w:rsidRPr="00B60534">
        <w:rPr>
          <w:rFonts w:ascii="Times New Roman" w:hAnsi="Times New Roman" w:cs="Times New Roman"/>
        </w:rPr>
        <w:t xml:space="preserve"> S</w:t>
      </w:r>
      <w:r w:rsidRPr="00B60534">
        <w:rPr>
          <w:rFonts w:ascii="Times New Roman" w:hAnsi="Times New Roman" w:cs="Times New Roman"/>
          <w:lang w:val="en-US"/>
        </w:rPr>
        <w:t>a</w:t>
      </w:r>
      <w:r w:rsidRPr="00B60534">
        <w:rPr>
          <w:rFonts w:ascii="Times New Roman" w:hAnsi="Times New Roman" w:cs="Times New Roman"/>
        </w:rPr>
        <w:t xml:space="preserve">gimun. </w:t>
      </w:r>
      <w:r w:rsidRPr="00B60534">
        <w:rPr>
          <w:rFonts w:ascii="Times New Roman" w:hAnsi="Times New Roman" w:cs="Times New Roman"/>
          <w:i/>
        </w:rPr>
        <w:t>Sultan Hasanuddin Menentang VOC</w:t>
      </w:r>
      <w:r w:rsidRPr="00B60534">
        <w:rPr>
          <w:rFonts w:ascii="Times New Roman" w:hAnsi="Times New Roman" w:cs="Times New Roman"/>
        </w:rPr>
        <w:t>. Departemen Pendidikan dan Kebudayaan, Jakarta 1985. h.2</w:t>
      </w:r>
      <w:r w:rsidRPr="00B60534">
        <w:rPr>
          <w:rFonts w:ascii="Times New Roman" w:hAnsi="Times New Roman" w:cs="Times New Roman"/>
          <w:lang w:val="en-US"/>
        </w:rPr>
        <w:t>58</w:t>
      </w:r>
    </w:p>
  </w:footnote>
  <w:footnote w:id="15">
    <w:p w:rsidR="00F43A59" w:rsidRPr="00B92C5B" w:rsidRDefault="00F43A59" w:rsidP="00F43A59">
      <w:pPr>
        <w:pStyle w:val="FootnoteText"/>
        <w:spacing w:line="240" w:lineRule="exact"/>
        <w:ind w:firstLine="720"/>
        <w:rPr>
          <w:lang w:val="en-US"/>
        </w:rPr>
      </w:pPr>
      <w:r w:rsidRPr="00925BD6">
        <w:rPr>
          <w:rStyle w:val="FootnoteReference"/>
        </w:rPr>
        <w:footnoteRef/>
      </w:r>
      <w:r w:rsidRPr="00B60534">
        <w:rPr>
          <w:rFonts w:ascii="Times New Roman" w:hAnsi="Times New Roman" w:cs="Times New Roman"/>
        </w:rPr>
        <w:t xml:space="preserve"> S</w:t>
      </w:r>
      <w:r w:rsidRPr="00B60534">
        <w:rPr>
          <w:rFonts w:ascii="Times New Roman" w:hAnsi="Times New Roman" w:cs="Times New Roman"/>
          <w:lang w:val="en-US"/>
        </w:rPr>
        <w:t>a</w:t>
      </w:r>
      <w:r w:rsidRPr="00B60534">
        <w:rPr>
          <w:rFonts w:ascii="Times New Roman" w:hAnsi="Times New Roman" w:cs="Times New Roman"/>
        </w:rPr>
        <w:t xml:space="preserve">gimun. </w:t>
      </w:r>
      <w:r w:rsidRPr="00B60534">
        <w:rPr>
          <w:rFonts w:ascii="Times New Roman" w:hAnsi="Times New Roman" w:cs="Times New Roman"/>
          <w:i/>
        </w:rPr>
        <w:t>Sultan Hasanuddin Menentang VOC</w:t>
      </w:r>
      <w:r w:rsidRPr="00B60534">
        <w:rPr>
          <w:rFonts w:ascii="Times New Roman" w:hAnsi="Times New Roman" w:cs="Times New Roman"/>
        </w:rPr>
        <w:t>. Departemen Pendidikan dan Kebudayaan, Jakarta 1985. h.2</w:t>
      </w:r>
      <w:r w:rsidRPr="00B60534">
        <w:rPr>
          <w:rFonts w:ascii="Times New Roman" w:hAnsi="Times New Roman" w:cs="Times New Roman"/>
          <w:lang w:val="en-US"/>
        </w:rPr>
        <w:t>76</w:t>
      </w:r>
    </w:p>
  </w:footnote>
  <w:footnote w:id="16">
    <w:p w:rsidR="00F43A59" w:rsidRPr="001B3A82" w:rsidRDefault="00F43A59" w:rsidP="00F43A59">
      <w:pPr>
        <w:pStyle w:val="FootnoteText"/>
        <w:spacing w:line="240" w:lineRule="exact"/>
        <w:ind w:firstLine="720"/>
        <w:rPr>
          <w:rFonts w:ascii="Times New Roman" w:hAnsi="Times New Roman" w:cs="Times New Roman"/>
          <w:lang w:val="en-US"/>
        </w:rPr>
      </w:pPr>
      <w:r w:rsidRPr="00925BD6">
        <w:rPr>
          <w:rStyle w:val="FootnoteReference"/>
        </w:rPr>
        <w:footnoteRef/>
      </w:r>
      <w:r>
        <w:t xml:space="preserve"> </w:t>
      </w:r>
      <w:r w:rsidRPr="00B60534">
        <w:rPr>
          <w:rFonts w:ascii="Times New Roman" w:hAnsi="Times New Roman" w:cs="Times New Roman"/>
        </w:rPr>
        <w:t xml:space="preserve">Kutoyo Sutrisni. </w:t>
      </w:r>
      <w:r w:rsidRPr="00B60534">
        <w:rPr>
          <w:rFonts w:ascii="Times New Roman" w:hAnsi="Times New Roman" w:cs="Times New Roman"/>
          <w:i/>
        </w:rPr>
        <w:t>Sultan Hasanuddin</w:t>
      </w:r>
      <w:r w:rsidRPr="00B60534">
        <w:rPr>
          <w:rFonts w:ascii="Times New Roman" w:hAnsi="Times New Roman" w:cs="Times New Roman"/>
        </w:rPr>
        <w:t xml:space="preserve">. Mutiara </w:t>
      </w:r>
      <w:r>
        <w:rPr>
          <w:rFonts w:ascii="Times New Roman" w:hAnsi="Times New Roman" w:cs="Times New Roman"/>
        </w:rPr>
        <w:t>Sumber Widya. Jakarta, 2010</w:t>
      </w:r>
      <w:r>
        <w:rPr>
          <w:rFonts w:ascii="Times New Roman" w:hAnsi="Times New Roman" w:cs="Times New Roman"/>
          <w:lang w:val="en-US"/>
        </w:rPr>
        <w:t xml:space="preserve"> </w:t>
      </w:r>
      <w:r>
        <w:rPr>
          <w:rFonts w:ascii="Times New Roman" w:hAnsi="Times New Roman" w:cs="Times New Roman"/>
        </w:rPr>
        <w:t>.h.4</w:t>
      </w:r>
      <w:r>
        <w:rPr>
          <w:rFonts w:ascii="Times New Roman" w:hAnsi="Times New Roman" w:cs="Times New Roman"/>
          <w:lang w:val="en-US"/>
        </w:rPr>
        <w:t>3.</w:t>
      </w:r>
    </w:p>
  </w:footnote>
  <w:footnote w:id="17">
    <w:p w:rsidR="00F43A59" w:rsidRPr="001B3A82" w:rsidRDefault="00F43A59" w:rsidP="00F43A59">
      <w:pPr>
        <w:pStyle w:val="FootnoteText"/>
        <w:spacing w:line="240" w:lineRule="exact"/>
        <w:ind w:firstLine="720"/>
        <w:rPr>
          <w:rFonts w:ascii="Times New Roman" w:hAnsi="Times New Roman" w:cs="Times New Roman"/>
          <w:lang w:val="en-US"/>
        </w:rPr>
      </w:pPr>
      <w:r w:rsidRPr="00925BD6">
        <w:rPr>
          <w:rStyle w:val="FootnoteReference"/>
        </w:rPr>
        <w:footnoteRef/>
      </w:r>
      <w:r w:rsidRPr="00B60534">
        <w:rPr>
          <w:rFonts w:ascii="Times New Roman" w:hAnsi="Times New Roman" w:cs="Times New Roman"/>
        </w:rPr>
        <w:t xml:space="preserve"> </w:t>
      </w:r>
      <w:r>
        <w:rPr>
          <w:rFonts w:ascii="Times New Roman" w:hAnsi="Times New Roman" w:cs="Times New Roman"/>
        </w:rPr>
        <w:t>A</w:t>
      </w:r>
      <w:r>
        <w:rPr>
          <w:rFonts w:ascii="Times New Roman" w:hAnsi="Times New Roman" w:cs="Times New Roman"/>
          <w:lang w:val="en-US"/>
        </w:rPr>
        <w:t>bd</w:t>
      </w:r>
      <w:r w:rsidRPr="00B60534">
        <w:rPr>
          <w:rFonts w:ascii="Times New Roman" w:hAnsi="Times New Roman" w:cs="Times New Roman"/>
        </w:rPr>
        <w:t xml:space="preserve">. Razak Daeng Patunru,  </w:t>
      </w:r>
      <w:r w:rsidRPr="00B60534">
        <w:rPr>
          <w:rFonts w:ascii="Times New Roman" w:hAnsi="Times New Roman" w:cs="Times New Roman"/>
          <w:i/>
        </w:rPr>
        <w:t>Sejarah Gowa</w:t>
      </w:r>
      <w:r w:rsidRPr="00B60534">
        <w:rPr>
          <w:rFonts w:ascii="Times New Roman" w:hAnsi="Times New Roman" w:cs="Times New Roman"/>
        </w:rPr>
        <w:t>,  (Ujung Pandang : Yayasan Kebudayaan Su</w:t>
      </w:r>
      <w:r>
        <w:rPr>
          <w:rFonts w:ascii="Times New Roman" w:hAnsi="Times New Roman" w:cs="Times New Roman"/>
        </w:rPr>
        <w:t xml:space="preserve">l-Sel di Makassar, 1983), h. </w:t>
      </w:r>
      <w:r>
        <w:rPr>
          <w:rFonts w:ascii="Times New Roman" w:hAnsi="Times New Roman" w:cs="Times New Roman"/>
          <w:lang w:val="en-US"/>
        </w:rPr>
        <w:t>62.</w:t>
      </w:r>
    </w:p>
  </w:footnote>
  <w:footnote w:id="18">
    <w:p w:rsidR="00F43A59" w:rsidRDefault="00F43A59" w:rsidP="00F43A59">
      <w:pPr>
        <w:spacing w:before="84" w:line="260" w:lineRule="exact"/>
        <w:ind w:right="284" w:firstLine="720"/>
        <w:rPr>
          <w:sz w:val="24"/>
          <w:szCs w:val="24"/>
        </w:rPr>
      </w:pPr>
      <w:r w:rsidRPr="00925BD6">
        <w:rPr>
          <w:rStyle w:val="FootnoteReference"/>
        </w:rPr>
        <w:footnoteRef/>
      </w:r>
      <w:r>
        <w:t xml:space="preserve"> </w:t>
      </w:r>
      <w:r w:rsidRPr="001B3A82">
        <w:rPr>
          <w:rFonts w:asciiTheme="majorBidi" w:hAnsiTheme="majorBidi" w:cstheme="majorBidi"/>
          <w:position w:val="-1"/>
          <w:sz w:val="20"/>
          <w:szCs w:val="20"/>
        </w:rPr>
        <w:t>D</w:t>
      </w:r>
      <w:r w:rsidRPr="001B3A82">
        <w:rPr>
          <w:rFonts w:asciiTheme="majorBidi" w:hAnsiTheme="majorBidi" w:cstheme="majorBidi"/>
          <w:spacing w:val="-1"/>
          <w:position w:val="-1"/>
          <w:sz w:val="20"/>
          <w:szCs w:val="20"/>
        </w:rPr>
        <w:t>e</w:t>
      </w:r>
      <w:r w:rsidRPr="001B3A82">
        <w:rPr>
          <w:rFonts w:asciiTheme="majorBidi" w:hAnsiTheme="majorBidi" w:cstheme="majorBidi"/>
          <w:position w:val="-1"/>
          <w:sz w:val="20"/>
          <w:szCs w:val="20"/>
        </w:rPr>
        <w:t>p</w:t>
      </w:r>
      <w:r w:rsidRPr="001B3A82">
        <w:rPr>
          <w:rFonts w:asciiTheme="majorBidi" w:hAnsiTheme="majorBidi" w:cstheme="majorBidi"/>
          <w:spacing w:val="-1"/>
          <w:position w:val="-1"/>
          <w:sz w:val="20"/>
          <w:szCs w:val="20"/>
        </w:rPr>
        <w:t>a</w:t>
      </w:r>
      <w:r w:rsidRPr="001B3A82">
        <w:rPr>
          <w:rFonts w:asciiTheme="majorBidi" w:hAnsiTheme="majorBidi" w:cstheme="majorBidi"/>
          <w:spacing w:val="1"/>
          <w:position w:val="-1"/>
          <w:sz w:val="20"/>
          <w:szCs w:val="20"/>
        </w:rPr>
        <w:t>r</w:t>
      </w:r>
      <w:r w:rsidRPr="001B3A82">
        <w:rPr>
          <w:rFonts w:asciiTheme="majorBidi" w:hAnsiTheme="majorBidi" w:cstheme="majorBidi"/>
          <w:spacing w:val="5"/>
          <w:position w:val="-1"/>
          <w:sz w:val="20"/>
          <w:szCs w:val="20"/>
        </w:rPr>
        <w:t>t</w:t>
      </w:r>
      <w:r w:rsidRPr="001B3A82">
        <w:rPr>
          <w:rFonts w:asciiTheme="majorBidi" w:hAnsiTheme="majorBidi" w:cstheme="majorBidi"/>
          <w:spacing w:val="-1"/>
          <w:position w:val="-1"/>
          <w:sz w:val="20"/>
          <w:szCs w:val="20"/>
        </w:rPr>
        <w:t>e</w:t>
      </w:r>
      <w:r w:rsidRPr="001B3A82">
        <w:rPr>
          <w:rFonts w:asciiTheme="majorBidi" w:hAnsiTheme="majorBidi" w:cstheme="majorBidi"/>
          <w:spacing w:val="-9"/>
          <w:position w:val="-1"/>
          <w:sz w:val="20"/>
          <w:szCs w:val="20"/>
        </w:rPr>
        <w:t>m</w:t>
      </w:r>
      <w:r w:rsidRPr="001B3A82">
        <w:rPr>
          <w:rFonts w:asciiTheme="majorBidi" w:hAnsiTheme="majorBidi" w:cstheme="majorBidi"/>
          <w:spacing w:val="4"/>
          <w:position w:val="-1"/>
          <w:sz w:val="20"/>
          <w:szCs w:val="20"/>
        </w:rPr>
        <w:t>e</w:t>
      </w:r>
      <w:r w:rsidRPr="001B3A82">
        <w:rPr>
          <w:rFonts w:asciiTheme="majorBidi" w:hAnsiTheme="majorBidi" w:cstheme="majorBidi"/>
          <w:position w:val="-1"/>
          <w:sz w:val="20"/>
          <w:szCs w:val="20"/>
        </w:rPr>
        <w:t xml:space="preserve">n  </w:t>
      </w:r>
      <w:r w:rsidRPr="001B3A82">
        <w:rPr>
          <w:rFonts w:asciiTheme="majorBidi" w:hAnsiTheme="majorBidi" w:cstheme="majorBidi"/>
          <w:spacing w:val="-5"/>
          <w:position w:val="-1"/>
          <w:sz w:val="20"/>
          <w:szCs w:val="20"/>
        </w:rPr>
        <w:t>A</w:t>
      </w:r>
      <w:r w:rsidRPr="001B3A82">
        <w:rPr>
          <w:rFonts w:asciiTheme="majorBidi" w:hAnsiTheme="majorBidi" w:cstheme="majorBidi"/>
          <w:position w:val="-1"/>
          <w:sz w:val="20"/>
          <w:szCs w:val="20"/>
        </w:rPr>
        <w:t>g</w:t>
      </w:r>
      <w:r w:rsidRPr="001B3A82">
        <w:rPr>
          <w:rFonts w:asciiTheme="majorBidi" w:hAnsiTheme="majorBidi" w:cstheme="majorBidi"/>
          <w:spacing w:val="4"/>
          <w:position w:val="-1"/>
          <w:sz w:val="20"/>
          <w:szCs w:val="20"/>
        </w:rPr>
        <w:t>a</w:t>
      </w:r>
      <w:r w:rsidRPr="001B3A82">
        <w:rPr>
          <w:rFonts w:asciiTheme="majorBidi" w:hAnsiTheme="majorBidi" w:cstheme="majorBidi"/>
          <w:spacing w:val="-4"/>
          <w:position w:val="-1"/>
          <w:sz w:val="20"/>
          <w:szCs w:val="20"/>
        </w:rPr>
        <w:t>m</w:t>
      </w:r>
      <w:r w:rsidRPr="001B3A82">
        <w:rPr>
          <w:rFonts w:asciiTheme="majorBidi" w:hAnsiTheme="majorBidi" w:cstheme="majorBidi"/>
          <w:position w:val="-1"/>
          <w:sz w:val="20"/>
          <w:szCs w:val="20"/>
        </w:rPr>
        <w:t>a</w:t>
      </w:r>
      <w:r w:rsidRPr="001B3A82">
        <w:rPr>
          <w:rFonts w:asciiTheme="majorBidi" w:hAnsiTheme="majorBidi" w:cstheme="majorBidi"/>
          <w:spacing w:val="59"/>
          <w:position w:val="-1"/>
          <w:sz w:val="20"/>
          <w:szCs w:val="20"/>
        </w:rPr>
        <w:t xml:space="preserve"> </w:t>
      </w:r>
      <w:r w:rsidRPr="001B3A82">
        <w:rPr>
          <w:rFonts w:asciiTheme="majorBidi" w:hAnsiTheme="majorBidi" w:cstheme="majorBidi"/>
          <w:spacing w:val="-2"/>
          <w:position w:val="-1"/>
          <w:sz w:val="20"/>
          <w:szCs w:val="20"/>
        </w:rPr>
        <w:t>R</w:t>
      </w:r>
      <w:r w:rsidRPr="001B3A82">
        <w:rPr>
          <w:rFonts w:asciiTheme="majorBidi" w:hAnsiTheme="majorBidi" w:cstheme="majorBidi"/>
          <w:spacing w:val="1"/>
          <w:position w:val="-1"/>
          <w:sz w:val="20"/>
          <w:szCs w:val="20"/>
        </w:rPr>
        <w:t>I</w:t>
      </w:r>
      <w:r w:rsidRPr="001B3A82">
        <w:rPr>
          <w:rFonts w:asciiTheme="majorBidi" w:hAnsiTheme="majorBidi" w:cstheme="majorBidi"/>
          <w:position w:val="-1"/>
          <w:sz w:val="20"/>
          <w:szCs w:val="20"/>
        </w:rPr>
        <w:t xml:space="preserve">, </w:t>
      </w:r>
      <w:r w:rsidRPr="001B3A82">
        <w:rPr>
          <w:rFonts w:asciiTheme="majorBidi" w:hAnsiTheme="majorBidi" w:cstheme="majorBidi"/>
          <w:spacing w:val="5"/>
          <w:position w:val="-1"/>
          <w:sz w:val="20"/>
          <w:szCs w:val="20"/>
        </w:rPr>
        <w:t xml:space="preserve"> </w:t>
      </w:r>
      <w:r w:rsidRPr="001B3A82">
        <w:rPr>
          <w:rFonts w:asciiTheme="majorBidi" w:hAnsiTheme="majorBidi" w:cstheme="majorBidi"/>
          <w:i/>
          <w:spacing w:val="2"/>
          <w:position w:val="-1"/>
          <w:sz w:val="20"/>
          <w:szCs w:val="20"/>
        </w:rPr>
        <w:t>A</w:t>
      </w:r>
      <w:r w:rsidRPr="001B3A82">
        <w:rPr>
          <w:rFonts w:asciiTheme="majorBidi" w:hAnsiTheme="majorBidi" w:cstheme="majorBidi"/>
          <w:i/>
          <w:position w:val="-1"/>
          <w:sz w:val="20"/>
          <w:szCs w:val="20"/>
        </w:rPr>
        <w:t>l</w:t>
      </w:r>
      <w:r w:rsidRPr="001B3A82">
        <w:rPr>
          <w:rFonts w:asciiTheme="majorBidi" w:hAnsiTheme="majorBidi" w:cstheme="majorBidi"/>
          <w:i/>
          <w:spacing w:val="2"/>
          <w:position w:val="-1"/>
          <w:sz w:val="20"/>
          <w:szCs w:val="20"/>
        </w:rPr>
        <w:t>-</w:t>
      </w:r>
      <w:r w:rsidRPr="001B3A82">
        <w:rPr>
          <w:rFonts w:asciiTheme="majorBidi" w:hAnsiTheme="majorBidi" w:cstheme="majorBidi"/>
          <w:i/>
          <w:position w:val="-1"/>
          <w:sz w:val="20"/>
          <w:szCs w:val="20"/>
        </w:rPr>
        <w:t>qu</w:t>
      </w:r>
      <w:r w:rsidRPr="001B3A82">
        <w:rPr>
          <w:rFonts w:asciiTheme="majorBidi" w:hAnsiTheme="majorBidi" w:cstheme="majorBidi"/>
          <w:i/>
          <w:spacing w:val="-2"/>
          <w:position w:val="-1"/>
          <w:sz w:val="20"/>
          <w:szCs w:val="20"/>
        </w:rPr>
        <w:t>r</w:t>
      </w:r>
      <w:r w:rsidRPr="001B3A82">
        <w:rPr>
          <w:rFonts w:asciiTheme="majorBidi" w:hAnsiTheme="majorBidi" w:cstheme="majorBidi"/>
          <w:i/>
          <w:position w:val="-1"/>
          <w:sz w:val="20"/>
          <w:szCs w:val="20"/>
        </w:rPr>
        <w:t>an  dan</w:t>
      </w:r>
      <w:r w:rsidRPr="001B3A82">
        <w:rPr>
          <w:rFonts w:asciiTheme="majorBidi" w:hAnsiTheme="majorBidi" w:cstheme="majorBidi"/>
          <w:i/>
          <w:spacing w:val="55"/>
          <w:position w:val="-1"/>
          <w:sz w:val="20"/>
          <w:szCs w:val="20"/>
        </w:rPr>
        <w:t xml:space="preserve"> </w:t>
      </w:r>
      <w:r w:rsidRPr="001B3A82">
        <w:rPr>
          <w:rFonts w:asciiTheme="majorBidi" w:hAnsiTheme="majorBidi" w:cstheme="majorBidi"/>
          <w:i/>
          <w:spacing w:val="1"/>
          <w:position w:val="-1"/>
          <w:sz w:val="20"/>
          <w:szCs w:val="20"/>
        </w:rPr>
        <w:t>T</w:t>
      </w:r>
      <w:r w:rsidRPr="001B3A82">
        <w:rPr>
          <w:rFonts w:asciiTheme="majorBidi" w:hAnsiTheme="majorBidi" w:cstheme="majorBidi"/>
          <w:i/>
          <w:spacing w:val="-1"/>
          <w:position w:val="-1"/>
          <w:sz w:val="20"/>
          <w:szCs w:val="20"/>
        </w:rPr>
        <w:t>e</w:t>
      </w:r>
      <w:r w:rsidRPr="001B3A82">
        <w:rPr>
          <w:rFonts w:asciiTheme="majorBidi" w:hAnsiTheme="majorBidi" w:cstheme="majorBidi"/>
          <w:i/>
          <w:spacing w:val="-2"/>
          <w:position w:val="-1"/>
          <w:sz w:val="20"/>
          <w:szCs w:val="20"/>
        </w:rPr>
        <w:t>r</w:t>
      </w:r>
      <w:r w:rsidRPr="001B3A82">
        <w:rPr>
          <w:rFonts w:asciiTheme="majorBidi" w:hAnsiTheme="majorBidi" w:cstheme="majorBidi"/>
          <w:i/>
          <w:position w:val="-1"/>
          <w:sz w:val="20"/>
          <w:szCs w:val="20"/>
        </w:rPr>
        <w:t>je</w:t>
      </w:r>
      <w:r w:rsidRPr="001B3A82">
        <w:rPr>
          <w:rFonts w:asciiTheme="majorBidi" w:hAnsiTheme="majorBidi" w:cstheme="majorBidi"/>
          <w:i/>
          <w:spacing w:val="-1"/>
          <w:position w:val="-1"/>
          <w:sz w:val="20"/>
          <w:szCs w:val="20"/>
        </w:rPr>
        <w:t>m</w:t>
      </w:r>
      <w:r w:rsidRPr="001B3A82">
        <w:rPr>
          <w:rFonts w:asciiTheme="majorBidi" w:hAnsiTheme="majorBidi" w:cstheme="majorBidi"/>
          <w:i/>
          <w:position w:val="-1"/>
          <w:sz w:val="20"/>
          <w:szCs w:val="20"/>
        </w:rPr>
        <w:t>aha</w:t>
      </w:r>
      <w:r w:rsidRPr="001B3A82">
        <w:rPr>
          <w:rFonts w:asciiTheme="majorBidi" w:hAnsiTheme="majorBidi" w:cstheme="majorBidi"/>
          <w:i/>
          <w:spacing w:val="2"/>
          <w:position w:val="-1"/>
          <w:sz w:val="20"/>
          <w:szCs w:val="20"/>
        </w:rPr>
        <w:t>n</w:t>
      </w:r>
      <w:r w:rsidRPr="001B3A82">
        <w:rPr>
          <w:rFonts w:asciiTheme="majorBidi" w:hAnsiTheme="majorBidi" w:cstheme="majorBidi"/>
          <w:position w:val="-1"/>
          <w:sz w:val="20"/>
          <w:szCs w:val="20"/>
        </w:rPr>
        <w:t xml:space="preserve">. </w:t>
      </w:r>
      <w:r w:rsidRPr="001B3A82">
        <w:rPr>
          <w:rFonts w:asciiTheme="majorBidi" w:hAnsiTheme="majorBidi" w:cstheme="majorBidi"/>
          <w:spacing w:val="2"/>
          <w:position w:val="-1"/>
          <w:sz w:val="20"/>
          <w:szCs w:val="20"/>
        </w:rPr>
        <w:t xml:space="preserve"> </w:t>
      </w:r>
      <w:r w:rsidRPr="001B3A82">
        <w:rPr>
          <w:rFonts w:asciiTheme="majorBidi" w:hAnsiTheme="majorBidi" w:cstheme="majorBidi"/>
          <w:spacing w:val="-2"/>
          <w:position w:val="-1"/>
          <w:sz w:val="20"/>
          <w:szCs w:val="20"/>
        </w:rPr>
        <w:t>C</w:t>
      </w:r>
      <w:r w:rsidRPr="001B3A82">
        <w:rPr>
          <w:rFonts w:asciiTheme="majorBidi" w:hAnsiTheme="majorBidi" w:cstheme="majorBidi"/>
          <w:spacing w:val="-6"/>
          <w:position w:val="-1"/>
          <w:sz w:val="20"/>
          <w:szCs w:val="20"/>
        </w:rPr>
        <w:t>e</w:t>
      </w:r>
      <w:r w:rsidRPr="001B3A82">
        <w:rPr>
          <w:rFonts w:asciiTheme="majorBidi" w:hAnsiTheme="majorBidi" w:cstheme="majorBidi"/>
          <w:spacing w:val="5"/>
          <w:position w:val="-1"/>
          <w:sz w:val="20"/>
          <w:szCs w:val="20"/>
        </w:rPr>
        <w:t>t</w:t>
      </w:r>
      <w:r w:rsidRPr="001B3A82">
        <w:rPr>
          <w:rFonts w:asciiTheme="majorBidi" w:hAnsiTheme="majorBidi" w:cstheme="majorBidi"/>
          <w:position w:val="-1"/>
          <w:sz w:val="20"/>
          <w:szCs w:val="20"/>
        </w:rPr>
        <w:t>.</w:t>
      </w:r>
      <w:r w:rsidRPr="001B3A82">
        <w:rPr>
          <w:rFonts w:asciiTheme="majorBidi" w:hAnsiTheme="majorBidi" w:cstheme="majorBidi"/>
          <w:spacing w:val="57"/>
          <w:position w:val="-1"/>
          <w:sz w:val="20"/>
          <w:szCs w:val="20"/>
        </w:rPr>
        <w:t xml:space="preserve"> </w:t>
      </w:r>
      <w:r w:rsidRPr="001B3A82">
        <w:rPr>
          <w:rFonts w:asciiTheme="majorBidi" w:hAnsiTheme="majorBidi" w:cstheme="majorBidi"/>
          <w:spacing w:val="3"/>
          <w:position w:val="-1"/>
          <w:sz w:val="20"/>
          <w:szCs w:val="20"/>
        </w:rPr>
        <w:t>I</w:t>
      </w:r>
      <w:r w:rsidRPr="001B3A82">
        <w:rPr>
          <w:rFonts w:asciiTheme="majorBidi" w:hAnsiTheme="majorBidi" w:cstheme="majorBidi"/>
          <w:position w:val="-1"/>
          <w:sz w:val="20"/>
          <w:szCs w:val="20"/>
        </w:rPr>
        <w:t>;</w:t>
      </w:r>
      <w:r w:rsidRPr="001B3A82">
        <w:rPr>
          <w:rFonts w:asciiTheme="majorBidi" w:hAnsiTheme="majorBidi" w:cstheme="majorBidi"/>
          <w:spacing w:val="55"/>
          <w:position w:val="-1"/>
          <w:sz w:val="20"/>
          <w:szCs w:val="20"/>
        </w:rPr>
        <w:t xml:space="preserve"> </w:t>
      </w:r>
      <w:r w:rsidRPr="001B3A82">
        <w:rPr>
          <w:rFonts w:asciiTheme="majorBidi" w:hAnsiTheme="majorBidi" w:cstheme="majorBidi"/>
          <w:spacing w:val="-2"/>
          <w:position w:val="-1"/>
          <w:sz w:val="20"/>
          <w:szCs w:val="20"/>
        </w:rPr>
        <w:t>B</w:t>
      </w:r>
      <w:r w:rsidRPr="001B3A82">
        <w:rPr>
          <w:rFonts w:asciiTheme="majorBidi" w:hAnsiTheme="majorBidi" w:cstheme="majorBidi"/>
          <w:spacing w:val="-1"/>
          <w:position w:val="-1"/>
          <w:sz w:val="20"/>
          <w:szCs w:val="20"/>
        </w:rPr>
        <w:t>a</w:t>
      </w:r>
      <w:r w:rsidRPr="001B3A82">
        <w:rPr>
          <w:rFonts w:asciiTheme="majorBidi" w:hAnsiTheme="majorBidi" w:cstheme="majorBidi"/>
          <w:spacing w:val="-5"/>
          <w:position w:val="-1"/>
          <w:sz w:val="20"/>
          <w:szCs w:val="20"/>
        </w:rPr>
        <w:t>n</w:t>
      </w:r>
      <w:r w:rsidRPr="001B3A82">
        <w:rPr>
          <w:rFonts w:asciiTheme="majorBidi" w:hAnsiTheme="majorBidi" w:cstheme="majorBidi"/>
          <w:position w:val="-1"/>
          <w:sz w:val="20"/>
          <w:szCs w:val="20"/>
        </w:rPr>
        <w:t>d</w:t>
      </w:r>
      <w:r w:rsidRPr="001B3A82">
        <w:rPr>
          <w:rFonts w:asciiTheme="majorBidi" w:hAnsiTheme="majorBidi" w:cstheme="majorBidi"/>
          <w:spacing w:val="5"/>
          <w:position w:val="-1"/>
          <w:sz w:val="20"/>
          <w:szCs w:val="20"/>
        </w:rPr>
        <w:t>u</w:t>
      </w:r>
      <w:r w:rsidRPr="001B3A82">
        <w:rPr>
          <w:rFonts w:asciiTheme="majorBidi" w:hAnsiTheme="majorBidi" w:cstheme="majorBidi"/>
          <w:spacing w:val="-5"/>
          <w:position w:val="-1"/>
          <w:sz w:val="20"/>
          <w:szCs w:val="20"/>
        </w:rPr>
        <w:t>n</w:t>
      </w:r>
      <w:r w:rsidRPr="001B3A82">
        <w:rPr>
          <w:rFonts w:asciiTheme="majorBidi" w:hAnsiTheme="majorBidi" w:cstheme="majorBidi"/>
          <w:position w:val="-1"/>
          <w:sz w:val="20"/>
          <w:szCs w:val="20"/>
        </w:rPr>
        <w:t>g:</w:t>
      </w:r>
      <w:r w:rsidRPr="001B3A82">
        <w:rPr>
          <w:rFonts w:asciiTheme="majorBidi" w:hAnsiTheme="majorBidi" w:cstheme="majorBidi"/>
          <w:position w:val="-1"/>
          <w:sz w:val="20"/>
          <w:szCs w:val="20"/>
          <w:lang w:val="en-US"/>
        </w:rPr>
        <w:t xml:space="preserve"> </w:t>
      </w:r>
      <w:r w:rsidRPr="001B3A82">
        <w:rPr>
          <w:rFonts w:asciiTheme="majorBidi" w:hAnsiTheme="majorBidi" w:cstheme="majorBidi"/>
          <w:spacing w:val="6"/>
          <w:position w:val="-1"/>
          <w:sz w:val="20"/>
          <w:szCs w:val="20"/>
        </w:rPr>
        <w:t>S</w:t>
      </w:r>
      <w:r w:rsidRPr="001B3A82">
        <w:rPr>
          <w:rFonts w:asciiTheme="majorBidi" w:hAnsiTheme="majorBidi" w:cstheme="majorBidi"/>
          <w:spacing w:val="-10"/>
          <w:position w:val="-1"/>
          <w:sz w:val="20"/>
          <w:szCs w:val="20"/>
        </w:rPr>
        <w:t>y</w:t>
      </w:r>
      <w:r w:rsidRPr="001B3A82">
        <w:rPr>
          <w:rFonts w:asciiTheme="majorBidi" w:hAnsiTheme="majorBidi" w:cstheme="majorBidi"/>
          <w:spacing w:val="4"/>
          <w:position w:val="-1"/>
          <w:sz w:val="20"/>
          <w:szCs w:val="20"/>
        </w:rPr>
        <w:t>aa</w:t>
      </w:r>
      <w:r w:rsidRPr="001B3A82">
        <w:rPr>
          <w:rFonts w:asciiTheme="majorBidi" w:hAnsiTheme="majorBidi" w:cstheme="majorBidi"/>
          <w:spacing w:val="-4"/>
          <w:position w:val="-1"/>
          <w:sz w:val="20"/>
          <w:szCs w:val="20"/>
        </w:rPr>
        <w:t>m</w:t>
      </w:r>
      <w:r w:rsidRPr="001B3A82">
        <w:rPr>
          <w:rFonts w:asciiTheme="majorBidi" w:hAnsiTheme="majorBidi" w:cstheme="majorBidi"/>
          <w:position w:val="-1"/>
          <w:sz w:val="20"/>
          <w:szCs w:val="20"/>
        </w:rPr>
        <w:t>il</w:t>
      </w:r>
      <w:r w:rsidRPr="001B3A82">
        <w:rPr>
          <w:rFonts w:asciiTheme="majorBidi" w:hAnsiTheme="majorBidi" w:cstheme="majorBidi"/>
          <w:sz w:val="20"/>
          <w:szCs w:val="20"/>
          <w:lang w:val="en-US"/>
        </w:rPr>
        <w:t xml:space="preserve"> </w:t>
      </w:r>
      <w:r w:rsidRPr="001B3A82">
        <w:rPr>
          <w:rFonts w:asciiTheme="majorBidi" w:hAnsiTheme="majorBidi" w:cstheme="majorBidi"/>
          <w:sz w:val="20"/>
          <w:szCs w:val="20"/>
        </w:rPr>
        <w:t>Qu</w:t>
      </w:r>
      <w:r w:rsidRPr="001B3A82">
        <w:rPr>
          <w:rFonts w:asciiTheme="majorBidi" w:hAnsiTheme="majorBidi" w:cstheme="majorBidi"/>
          <w:spacing w:val="1"/>
          <w:sz w:val="20"/>
          <w:szCs w:val="20"/>
        </w:rPr>
        <w:t>r</w:t>
      </w:r>
      <w:r w:rsidRPr="001B3A82">
        <w:rPr>
          <w:rFonts w:asciiTheme="majorBidi" w:hAnsiTheme="majorBidi" w:cstheme="majorBidi"/>
          <w:spacing w:val="-1"/>
          <w:sz w:val="20"/>
          <w:szCs w:val="20"/>
        </w:rPr>
        <w:t>a</w:t>
      </w:r>
      <w:r w:rsidRPr="001B3A82">
        <w:rPr>
          <w:rFonts w:asciiTheme="majorBidi" w:hAnsiTheme="majorBidi" w:cstheme="majorBidi"/>
          <w:spacing w:val="-5"/>
          <w:sz w:val="20"/>
          <w:szCs w:val="20"/>
        </w:rPr>
        <w:t>n</w:t>
      </w:r>
      <w:r w:rsidRPr="001B3A82">
        <w:rPr>
          <w:rFonts w:asciiTheme="majorBidi" w:hAnsiTheme="majorBidi" w:cstheme="majorBidi"/>
          <w:sz w:val="20"/>
          <w:szCs w:val="20"/>
        </w:rPr>
        <w:t>,</w:t>
      </w:r>
      <w:r>
        <w:rPr>
          <w:rFonts w:asciiTheme="majorBidi" w:hAnsiTheme="majorBidi" w:cstheme="majorBidi"/>
          <w:spacing w:val="4"/>
          <w:sz w:val="20"/>
          <w:szCs w:val="20"/>
          <w:lang w:val="en-US"/>
        </w:rPr>
        <w:t xml:space="preserve"> </w:t>
      </w:r>
      <w:r w:rsidRPr="001B3A82">
        <w:rPr>
          <w:rFonts w:asciiTheme="majorBidi" w:hAnsiTheme="majorBidi" w:cstheme="majorBidi"/>
          <w:sz w:val="20"/>
          <w:szCs w:val="20"/>
        </w:rPr>
        <w:t>2011.</w:t>
      </w:r>
    </w:p>
    <w:p w:rsidR="00F43A59" w:rsidRPr="001B3A82" w:rsidRDefault="00F43A59" w:rsidP="00F43A5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083"/>
    <w:multiLevelType w:val="hybridMultilevel"/>
    <w:tmpl w:val="CF86E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F10ED5"/>
    <w:multiLevelType w:val="hybridMultilevel"/>
    <w:tmpl w:val="D5024FD8"/>
    <w:lvl w:ilvl="0" w:tplc="64AEFDB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19877EB0"/>
    <w:multiLevelType w:val="hybridMultilevel"/>
    <w:tmpl w:val="09766166"/>
    <w:lvl w:ilvl="0" w:tplc="0409000F">
      <w:start w:val="1"/>
      <w:numFmt w:val="decimal"/>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nsid w:val="2E6644A2"/>
    <w:multiLevelType w:val="hybridMultilevel"/>
    <w:tmpl w:val="A000CF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2E6FCE"/>
    <w:multiLevelType w:val="hybridMultilevel"/>
    <w:tmpl w:val="A7B08A8E"/>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B181C68"/>
    <w:multiLevelType w:val="hybridMultilevel"/>
    <w:tmpl w:val="6AEE9A4E"/>
    <w:lvl w:ilvl="0" w:tplc="0409000F">
      <w:start w:val="1"/>
      <w:numFmt w:val="decimal"/>
      <w:lvlText w:val="%1."/>
      <w:lvlJc w:val="left"/>
      <w:pPr>
        <w:ind w:left="1004" w:hanging="360"/>
      </w:pPr>
      <w:rPr>
        <w:rFonts w:hint="default"/>
        <w:i w:val="0"/>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084180F"/>
    <w:multiLevelType w:val="hybridMultilevel"/>
    <w:tmpl w:val="6A2214D0"/>
    <w:lvl w:ilvl="0" w:tplc="04090019">
      <w:start w:val="1"/>
      <w:numFmt w:val="lowerLetter"/>
      <w:lvlText w:val="%1."/>
      <w:lvlJc w:val="left"/>
      <w:pPr>
        <w:ind w:left="1212"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717C6EA8"/>
    <w:multiLevelType w:val="hybridMultilevel"/>
    <w:tmpl w:val="BEAC3F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240795"/>
    <w:multiLevelType w:val="hybridMultilevel"/>
    <w:tmpl w:val="5CBC1CD2"/>
    <w:lvl w:ilvl="0" w:tplc="0F92CD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511C5C"/>
    <w:multiLevelType w:val="hybridMultilevel"/>
    <w:tmpl w:val="E9949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7"/>
  </w:num>
  <w:num w:numId="5">
    <w:abstractNumId w:val="5"/>
  </w:num>
  <w:num w:numId="6">
    <w:abstractNumId w:val="3"/>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59"/>
    <w:rsid w:val="0000530D"/>
    <w:rsid w:val="00022851"/>
    <w:rsid w:val="00031C5C"/>
    <w:rsid w:val="00037CA9"/>
    <w:rsid w:val="000833BD"/>
    <w:rsid w:val="0008654D"/>
    <w:rsid w:val="000908D4"/>
    <w:rsid w:val="000938E6"/>
    <w:rsid w:val="000A2553"/>
    <w:rsid w:val="000B0DEE"/>
    <w:rsid w:val="000C095C"/>
    <w:rsid w:val="000C7A18"/>
    <w:rsid w:val="000D4A7D"/>
    <w:rsid w:val="000E075B"/>
    <w:rsid w:val="000F01DE"/>
    <w:rsid w:val="00116F0B"/>
    <w:rsid w:val="00137D8D"/>
    <w:rsid w:val="0014692F"/>
    <w:rsid w:val="001541A4"/>
    <w:rsid w:val="00170731"/>
    <w:rsid w:val="00173D79"/>
    <w:rsid w:val="0018720D"/>
    <w:rsid w:val="001A764C"/>
    <w:rsid w:val="001C0660"/>
    <w:rsid w:val="001C6D5B"/>
    <w:rsid w:val="001D1BB3"/>
    <w:rsid w:val="001D2CEC"/>
    <w:rsid w:val="001E2B05"/>
    <w:rsid w:val="00202204"/>
    <w:rsid w:val="0020330D"/>
    <w:rsid w:val="00207100"/>
    <w:rsid w:val="002308FF"/>
    <w:rsid w:val="00280070"/>
    <w:rsid w:val="002C2C74"/>
    <w:rsid w:val="002C5B36"/>
    <w:rsid w:val="002D5200"/>
    <w:rsid w:val="002D5BC3"/>
    <w:rsid w:val="002F05A9"/>
    <w:rsid w:val="00300278"/>
    <w:rsid w:val="00307222"/>
    <w:rsid w:val="00314A34"/>
    <w:rsid w:val="003151DF"/>
    <w:rsid w:val="00325BBE"/>
    <w:rsid w:val="003340E9"/>
    <w:rsid w:val="00346B7A"/>
    <w:rsid w:val="00395463"/>
    <w:rsid w:val="003A6DF6"/>
    <w:rsid w:val="003B64D7"/>
    <w:rsid w:val="003B6ADE"/>
    <w:rsid w:val="003C05C8"/>
    <w:rsid w:val="003E2A9C"/>
    <w:rsid w:val="00400615"/>
    <w:rsid w:val="004061C6"/>
    <w:rsid w:val="0041389B"/>
    <w:rsid w:val="00420F0C"/>
    <w:rsid w:val="00427063"/>
    <w:rsid w:val="00430415"/>
    <w:rsid w:val="00431E79"/>
    <w:rsid w:val="00434BC7"/>
    <w:rsid w:val="004570BF"/>
    <w:rsid w:val="00484958"/>
    <w:rsid w:val="004A0534"/>
    <w:rsid w:val="00504627"/>
    <w:rsid w:val="00505F4C"/>
    <w:rsid w:val="00510221"/>
    <w:rsid w:val="00510624"/>
    <w:rsid w:val="00510B3B"/>
    <w:rsid w:val="00552C9A"/>
    <w:rsid w:val="00555613"/>
    <w:rsid w:val="005574DC"/>
    <w:rsid w:val="00574AF7"/>
    <w:rsid w:val="0059134A"/>
    <w:rsid w:val="005A4BC5"/>
    <w:rsid w:val="005C1DBE"/>
    <w:rsid w:val="005F3079"/>
    <w:rsid w:val="005F5333"/>
    <w:rsid w:val="005F6B76"/>
    <w:rsid w:val="00626269"/>
    <w:rsid w:val="00637B99"/>
    <w:rsid w:val="00661A5F"/>
    <w:rsid w:val="00664BE6"/>
    <w:rsid w:val="0069349B"/>
    <w:rsid w:val="006A64F2"/>
    <w:rsid w:val="006A74E2"/>
    <w:rsid w:val="006B53E4"/>
    <w:rsid w:val="006C0B93"/>
    <w:rsid w:val="006E73CA"/>
    <w:rsid w:val="00787B0B"/>
    <w:rsid w:val="007A41EF"/>
    <w:rsid w:val="007A56F6"/>
    <w:rsid w:val="00813C26"/>
    <w:rsid w:val="00814A7F"/>
    <w:rsid w:val="00821350"/>
    <w:rsid w:val="0082386B"/>
    <w:rsid w:val="00845AEC"/>
    <w:rsid w:val="00860FBE"/>
    <w:rsid w:val="00862B17"/>
    <w:rsid w:val="008648E7"/>
    <w:rsid w:val="00884265"/>
    <w:rsid w:val="00895D71"/>
    <w:rsid w:val="008A44CA"/>
    <w:rsid w:val="008A624D"/>
    <w:rsid w:val="008C6F98"/>
    <w:rsid w:val="008D3F7B"/>
    <w:rsid w:val="00903559"/>
    <w:rsid w:val="00925BD6"/>
    <w:rsid w:val="0097246B"/>
    <w:rsid w:val="009A043D"/>
    <w:rsid w:val="009B021A"/>
    <w:rsid w:val="009B7568"/>
    <w:rsid w:val="009C1E52"/>
    <w:rsid w:val="009C56D5"/>
    <w:rsid w:val="00A10A20"/>
    <w:rsid w:val="00A17DAA"/>
    <w:rsid w:val="00A24124"/>
    <w:rsid w:val="00A45744"/>
    <w:rsid w:val="00A47BE1"/>
    <w:rsid w:val="00A54B5B"/>
    <w:rsid w:val="00A603EF"/>
    <w:rsid w:val="00A66E20"/>
    <w:rsid w:val="00A7305F"/>
    <w:rsid w:val="00A802C0"/>
    <w:rsid w:val="00AB37F6"/>
    <w:rsid w:val="00AC51AE"/>
    <w:rsid w:val="00AC7E34"/>
    <w:rsid w:val="00AD4EE0"/>
    <w:rsid w:val="00AD5115"/>
    <w:rsid w:val="00AE235C"/>
    <w:rsid w:val="00AE6960"/>
    <w:rsid w:val="00AF2B0A"/>
    <w:rsid w:val="00AF3528"/>
    <w:rsid w:val="00AF39AD"/>
    <w:rsid w:val="00B31DCF"/>
    <w:rsid w:val="00B32165"/>
    <w:rsid w:val="00B510AD"/>
    <w:rsid w:val="00B562FF"/>
    <w:rsid w:val="00B85A24"/>
    <w:rsid w:val="00BA2EB4"/>
    <w:rsid w:val="00BC12A6"/>
    <w:rsid w:val="00BC2245"/>
    <w:rsid w:val="00BD72C7"/>
    <w:rsid w:val="00BF4EBC"/>
    <w:rsid w:val="00C56EC3"/>
    <w:rsid w:val="00C5778D"/>
    <w:rsid w:val="00C67F51"/>
    <w:rsid w:val="00C84FF8"/>
    <w:rsid w:val="00CA6D2F"/>
    <w:rsid w:val="00CB256F"/>
    <w:rsid w:val="00CC5981"/>
    <w:rsid w:val="00CD50F2"/>
    <w:rsid w:val="00CF39EB"/>
    <w:rsid w:val="00CF4BEB"/>
    <w:rsid w:val="00D05F92"/>
    <w:rsid w:val="00D158BC"/>
    <w:rsid w:val="00D5171C"/>
    <w:rsid w:val="00D907A3"/>
    <w:rsid w:val="00D973E8"/>
    <w:rsid w:val="00DA6DE1"/>
    <w:rsid w:val="00DB1639"/>
    <w:rsid w:val="00DC721B"/>
    <w:rsid w:val="00DD590D"/>
    <w:rsid w:val="00E05E88"/>
    <w:rsid w:val="00E51006"/>
    <w:rsid w:val="00E553A5"/>
    <w:rsid w:val="00E677AC"/>
    <w:rsid w:val="00E73D6D"/>
    <w:rsid w:val="00E87F18"/>
    <w:rsid w:val="00E92054"/>
    <w:rsid w:val="00EA667F"/>
    <w:rsid w:val="00EB267B"/>
    <w:rsid w:val="00EB4238"/>
    <w:rsid w:val="00EE20D4"/>
    <w:rsid w:val="00F0057E"/>
    <w:rsid w:val="00F05B46"/>
    <w:rsid w:val="00F237CC"/>
    <w:rsid w:val="00F24203"/>
    <w:rsid w:val="00F24B8C"/>
    <w:rsid w:val="00F27516"/>
    <w:rsid w:val="00F34F90"/>
    <w:rsid w:val="00F43A59"/>
    <w:rsid w:val="00F44F66"/>
    <w:rsid w:val="00F4788E"/>
    <w:rsid w:val="00F5341C"/>
    <w:rsid w:val="00F54422"/>
    <w:rsid w:val="00F61D08"/>
    <w:rsid w:val="00F93381"/>
    <w:rsid w:val="00F94A32"/>
    <w:rsid w:val="00F95B56"/>
    <w:rsid w:val="00F962D0"/>
    <w:rsid w:val="00F96B5E"/>
    <w:rsid w:val="00FA6801"/>
    <w:rsid w:val="00FB4845"/>
    <w:rsid w:val="00FD3F6C"/>
    <w:rsid w:val="00FD59BB"/>
    <w:rsid w:val="00FE481F"/>
    <w:rsid w:val="00FE4F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3A59"/>
    <w:pPr>
      <w:spacing w:after="0" w:line="240" w:lineRule="auto"/>
    </w:pPr>
    <w:rPr>
      <w:sz w:val="20"/>
      <w:szCs w:val="20"/>
    </w:rPr>
  </w:style>
  <w:style w:type="character" w:customStyle="1" w:styleId="FootnoteTextChar">
    <w:name w:val="Footnote Text Char"/>
    <w:basedOn w:val="DefaultParagraphFont"/>
    <w:link w:val="FootnoteText"/>
    <w:uiPriority w:val="99"/>
    <w:rsid w:val="00F43A59"/>
    <w:rPr>
      <w:sz w:val="20"/>
      <w:szCs w:val="20"/>
    </w:rPr>
  </w:style>
  <w:style w:type="character" w:styleId="FootnoteReference">
    <w:name w:val="footnote reference"/>
    <w:basedOn w:val="DefaultParagraphFont"/>
    <w:uiPriority w:val="99"/>
    <w:semiHidden/>
    <w:unhideWhenUsed/>
    <w:rsid w:val="00F43A59"/>
    <w:rPr>
      <w:vertAlign w:val="superscript"/>
    </w:rPr>
  </w:style>
  <w:style w:type="paragraph" w:styleId="ListParagraph">
    <w:name w:val="List Paragraph"/>
    <w:basedOn w:val="Normal"/>
    <w:uiPriority w:val="34"/>
    <w:qFormat/>
    <w:rsid w:val="00F43A59"/>
    <w:pPr>
      <w:ind w:left="720"/>
      <w:contextualSpacing/>
    </w:pPr>
  </w:style>
  <w:style w:type="paragraph" w:customStyle="1" w:styleId="Default">
    <w:name w:val="Default"/>
    <w:rsid w:val="00F43A5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5">
    <w:name w:val="h5"/>
    <w:basedOn w:val="Normal"/>
    <w:rsid w:val="00F43A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43A59"/>
    <w:rPr>
      <w:color w:val="0000FF" w:themeColor="hyperlink"/>
      <w:u w:val="single"/>
    </w:rPr>
  </w:style>
  <w:style w:type="character" w:customStyle="1" w:styleId="y2iqfc">
    <w:name w:val="y2iqfc"/>
    <w:basedOn w:val="DefaultParagraphFont"/>
    <w:rsid w:val="002F05A9"/>
  </w:style>
  <w:style w:type="character" w:styleId="EndnoteReference">
    <w:name w:val="endnote reference"/>
    <w:basedOn w:val="DefaultParagraphFont"/>
    <w:uiPriority w:val="99"/>
    <w:semiHidden/>
    <w:unhideWhenUsed/>
    <w:rsid w:val="00925B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3A59"/>
    <w:pPr>
      <w:spacing w:after="0" w:line="240" w:lineRule="auto"/>
    </w:pPr>
    <w:rPr>
      <w:sz w:val="20"/>
      <w:szCs w:val="20"/>
    </w:rPr>
  </w:style>
  <w:style w:type="character" w:customStyle="1" w:styleId="FootnoteTextChar">
    <w:name w:val="Footnote Text Char"/>
    <w:basedOn w:val="DefaultParagraphFont"/>
    <w:link w:val="FootnoteText"/>
    <w:uiPriority w:val="99"/>
    <w:rsid w:val="00F43A59"/>
    <w:rPr>
      <w:sz w:val="20"/>
      <w:szCs w:val="20"/>
    </w:rPr>
  </w:style>
  <w:style w:type="character" w:styleId="FootnoteReference">
    <w:name w:val="footnote reference"/>
    <w:basedOn w:val="DefaultParagraphFont"/>
    <w:uiPriority w:val="99"/>
    <w:semiHidden/>
    <w:unhideWhenUsed/>
    <w:rsid w:val="00F43A59"/>
    <w:rPr>
      <w:vertAlign w:val="superscript"/>
    </w:rPr>
  </w:style>
  <w:style w:type="paragraph" w:styleId="ListParagraph">
    <w:name w:val="List Paragraph"/>
    <w:basedOn w:val="Normal"/>
    <w:uiPriority w:val="34"/>
    <w:qFormat/>
    <w:rsid w:val="00F43A59"/>
    <w:pPr>
      <w:ind w:left="720"/>
      <w:contextualSpacing/>
    </w:pPr>
  </w:style>
  <w:style w:type="paragraph" w:customStyle="1" w:styleId="Default">
    <w:name w:val="Default"/>
    <w:rsid w:val="00F43A5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5">
    <w:name w:val="h5"/>
    <w:basedOn w:val="Normal"/>
    <w:rsid w:val="00F43A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43A59"/>
    <w:rPr>
      <w:color w:val="0000FF" w:themeColor="hyperlink"/>
      <w:u w:val="single"/>
    </w:rPr>
  </w:style>
  <w:style w:type="character" w:customStyle="1" w:styleId="y2iqfc">
    <w:name w:val="y2iqfc"/>
    <w:basedOn w:val="DefaultParagraphFont"/>
    <w:rsid w:val="002F05A9"/>
  </w:style>
  <w:style w:type="character" w:styleId="EndnoteReference">
    <w:name w:val="endnote reference"/>
    <w:basedOn w:val="DefaultParagraphFont"/>
    <w:uiPriority w:val="99"/>
    <w:semiHidden/>
    <w:unhideWhenUsed/>
    <w:rsid w:val="00925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Hamdanramadhani62@gmail.com" TargetMode="External"/><Relationship Id="rId5" Type="http://schemas.openxmlformats.org/officeDocument/2006/relationships/settings" Target="settings.xml"/><Relationship Id="rId10" Type="http://schemas.openxmlformats.org/officeDocument/2006/relationships/hyperlink" Target="mailto:2chaerul.mundzir@uin-alauddin.ac.id" TargetMode="External"/><Relationship Id="rId4" Type="http://schemas.microsoft.com/office/2007/relationships/stylesWithEffects" Target="stylesWithEffects.xml"/><Relationship Id="rId9" Type="http://schemas.openxmlformats.org/officeDocument/2006/relationships/hyperlink" Target="mailto:1muhammad.arif@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DB09-47BB-464B-BE0C-F423601C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6</cp:revision>
  <dcterms:created xsi:type="dcterms:W3CDTF">2021-10-13T09:02:00Z</dcterms:created>
  <dcterms:modified xsi:type="dcterms:W3CDTF">2021-10-13T13:33:00Z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c644667c-59de-3d5c-aa7a-cbeac7d17045</vt:lpwstr>
  </property>
</Properties>
</file>