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FAA46" w14:textId="7C644905" w:rsidR="009C29CF" w:rsidRDefault="00636B66" w:rsidP="009C29CF">
      <w:pPr>
        <w:pStyle w:val="Header"/>
        <w:jc w:val="right"/>
        <w:rPr>
          <w:rFonts w:ascii="Bahnschrift Light" w:hAnsi="Bahnschrift Light"/>
          <w:i/>
          <w:iCs/>
          <w:color w:val="000000" w:themeColor="text1"/>
          <w:sz w:val="20"/>
          <w:lang w:val="en-US"/>
        </w:rPr>
      </w:pPr>
      <w:r>
        <w:rPr>
          <w:noProof/>
          <w:lang w:val="id-ID" w:eastAsia="id-ID"/>
        </w:rPr>
        <w:drawing>
          <wp:anchor distT="0" distB="0" distL="114300" distR="114300" simplePos="0" relativeHeight="251659264" behindDoc="0" locked="0" layoutInCell="1" allowOverlap="1" wp14:anchorId="2E524638" wp14:editId="3CEF9286">
            <wp:simplePos x="0" y="0"/>
            <wp:positionH relativeFrom="margin">
              <wp:align>left</wp:align>
            </wp:positionH>
            <wp:positionV relativeFrom="margin">
              <wp:align>top</wp:align>
            </wp:positionV>
            <wp:extent cx="396000" cy="610152"/>
            <wp:effectExtent l="0" t="0" r="4445" b="0"/>
            <wp:wrapSquare wrapText="bothSides"/>
            <wp:docPr id="225821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000" cy="610152"/>
                    </a:xfrm>
                    <a:prstGeom prst="rect">
                      <a:avLst/>
                    </a:prstGeom>
                    <a:noFill/>
                    <a:ln>
                      <a:noFill/>
                    </a:ln>
                  </pic:spPr>
                </pic:pic>
              </a:graphicData>
            </a:graphic>
            <wp14:sizeRelH relativeFrom="page">
              <wp14:pctWidth>0</wp14:pctWidth>
            </wp14:sizeRelH>
            <wp14:sizeRelV relativeFrom="page">
              <wp14:pctHeight>0</wp14:pctHeight>
            </wp14:sizeRelV>
          </wp:anchor>
        </w:drawing>
      </w:r>
      <w:r w:rsidR="009C29CF" w:rsidRPr="00410119">
        <w:rPr>
          <w:rFonts w:ascii="Bahnschrift Light" w:hAnsi="Bahnschrift Light"/>
          <w:i/>
          <w:iCs/>
          <w:color w:val="000000" w:themeColor="text1"/>
          <w:sz w:val="20"/>
          <w:lang w:val="en-US"/>
        </w:rPr>
        <w:t>Alami Journal: Alauddin Islamic Medical Journal</w:t>
      </w:r>
    </w:p>
    <w:p w14:paraId="2BF40903" w14:textId="77777777" w:rsidR="009C29CF" w:rsidRDefault="009C29CF" w:rsidP="009C29CF">
      <w:pPr>
        <w:pStyle w:val="Header"/>
        <w:jc w:val="right"/>
        <w:rPr>
          <w:rFonts w:ascii="Bahnschrift Light" w:hAnsi="Bahnschrift Light"/>
          <w:i/>
          <w:iCs/>
          <w:color w:val="000000" w:themeColor="text1"/>
          <w:sz w:val="20"/>
          <w:lang w:val="en-US"/>
        </w:rPr>
      </w:pPr>
      <w:r>
        <w:rPr>
          <w:rFonts w:ascii="Bahnschrift Light" w:hAnsi="Bahnschrift Light"/>
          <w:i/>
          <w:iCs/>
          <w:color w:val="000000" w:themeColor="text1"/>
          <w:sz w:val="20"/>
          <w:lang w:val="en-US"/>
        </w:rPr>
        <w:t>p-ISSN: 2581-2513</w:t>
      </w:r>
    </w:p>
    <w:p w14:paraId="4C0A79CD" w14:textId="77777777" w:rsidR="009C29CF" w:rsidRDefault="009C29CF" w:rsidP="009C29CF">
      <w:pPr>
        <w:pStyle w:val="Header"/>
        <w:jc w:val="right"/>
        <w:rPr>
          <w:rFonts w:ascii="Bahnschrift Light" w:hAnsi="Bahnschrift Light"/>
          <w:i/>
          <w:iCs/>
          <w:color w:val="000000" w:themeColor="text1"/>
          <w:sz w:val="20"/>
          <w:lang w:val="en-US"/>
        </w:rPr>
      </w:pPr>
      <w:r>
        <w:rPr>
          <w:rFonts w:ascii="Bahnschrift Light" w:hAnsi="Bahnschrift Light"/>
          <w:i/>
          <w:iCs/>
          <w:color w:val="000000" w:themeColor="text1"/>
          <w:sz w:val="20"/>
          <w:lang w:val="en-US"/>
        </w:rPr>
        <w:t>e-ISSN: 2685-0613</w:t>
      </w:r>
    </w:p>
    <w:p w14:paraId="22EEA86A" w14:textId="372135E0" w:rsidR="009C29CF" w:rsidRPr="009C29CF" w:rsidRDefault="009C29CF" w:rsidP="009C29CF">
      <w:pPr>
        <w:pStyle w:val="Header"/>
        <w:jc w:val="right"/>
        <w:rPr>
          <w:rFonts w:ascii="Bahnschrift Light" w:hAnsi="Bahnschrift Light"/>
          <w:i/>
          <w:iCs/>
          <w:color w:val="000000" w:themeColor="text1"/>
          <w:sz w:val="20"/>
          <w:lang w:val="en-US"/>
        </w:rPr>
      </w:pPr>
      <w:r w:rsidRPr="007546BC">
        <w:rPr>
          <w:rFonts w:ascii="Bahnschrift Light" w:hAnsi="Bahnschrift Light"/>
          <w:i/>
          <w:iCs/>
          <w:color w:val="000000" w:themeColor="text1"/>
          <w:sz w:val="20"/>
          <w:lang w:val="en-US"/>
        </w:rPr>
        <w:t xml:space="preserve">Volume </w:t>
      </w:r>
      <w:r w:rsidR="007546BC" w:rsidRPr="007546BC">
        <w:rPr>
          <w:rFonts w:ascii="Bahnschrift Light" w:hAnsi="Bahnschrift Light"/>
          <w:i/>
          <w:iCs/>
          <w:color w:val="000000" w:themeColor="text1"/>
          <w:sz w:val="20"/>
          <w:lang w:val="en-US"/>
        </w:rPr>
        <w:t>8</w:t>
      </w:r>
      <w:r w:rsidRPr="007546BC">
        <w:rPr>
          <w:rFonts w:ascii="Bahnschrift Light" w:hAnsi="Bahnschrift Light"/>
          <w:i/>
          <w:iCs/>
          <w:color w:val="000000" w:themeColor="text1"/>
          <w:sz w:val="20"/>
          <w:lang w:val="en-US"/>
        </w:rPr>
        <w:t xml:space="preserve"> Nomor </w:t>
      </w:r>
      <w:r w:rsidR="007546BC" w:rsidRPr="007546BC">
        <w:rPr>
          <w:rFonts w:ascii="Bahnschrift Light" w:hAnsi="Bahnschrift Light"/>
          <w:i/>
          <w:iCs/>
          <w:color w:val="000000" w:themeColor="text1"/>
          <w:sz w:val="20"/>
          <w:lang w:val="en-US"/>
        </w:rPr>
        <w:t>1</w:t>
      </w:r>
      <w:r w:rsidRPr="007546BC">
        <w:rPr>
          <w:rFonts w:ascii="Bahnschrift Light" w:hAnsi="Bahnschrift Light"/>
          <w:i/>
          <w:iCs/>
          <w:color w:val="000000" w:themeColor="text1"/>
          <w:sz w:val="20"/>
          <w:lang w:val="en-US"/>
        </w:rPr>
        <w:t xml:space="preserve">, </w:t>
      </w:r>
      <w:r w:rsidR="007546BC" w:rsidRPr="007546BC">
        <w:rPr>
          <w:rFonts w:ascii="Bahnschrift Light" w:hAnsi="Bahnschrift Light"/>
          <w:i/>
          <w:iCs/>
          <w:color w:val="000000" w:themeColor="text1"/>
          <w:sz w:val="20"/>
          <w:lang w:val="en-US"/>
        </w:rPr>
        <w:t>January</w:t>
      </w:r>
      <w:r w:rsidRPr="007546BC">
        <w:rPr>
          <w:rFonts w:ascii="Bahnschrift Light" w:hAnsi="Bahnschrift Light"/>
          <w:i/>
          <w:iCs/>
          <w:color w:val="000000" w:themeColor="text1"/>
          <w:sz w:val="20"/>
          <w:lang w:val="en-US"/>
        </w:rPr>
        <w:t>, 202</w:t>
      </w:r>
      <w:r w:rsidR="007546BC" w:rsidRPr="007546BC">
        <w:rPr>
          <w:rFonts w:ascii="Bahnschrift Light" w:hAnsi="Bahnschrift Light"/>
          <w:i/>
          <w:iCs/>
          <w:color w:val="000000" w:themeColor="text1"/>
          <w:sz w:val="20"/>
          <w:lang w:val="en-US"/>
        </w:rPr>
        <w:t>4</w:t>
      </w:r>
    </w:p>
    <w:p w14:paraId="6BA0C45C" w14:textId="7764078F" w:rsidR="00362DB2" w:rsidRDefault="00362DB2" w:rsidP="007546BC">
      <w:pPr>
        <w:spacing w:before="120"/>
        <w:jc w:val="center"/>
        <w:outlineLvl w:val="0"/>
        <w:rPr>
          <w:b/>
          <w:bCs/>
          <w:sz w:val="26"/>
          <w:szCs w:val="26"/>
        </w:rPr>
      </w:pPr>
      <w:r w:rsidRPr="009C29CF">
        <w:rPr>
          <w:b/>
          <w:bCs/>
          <w:sz w:val="26"/>
          <w:szCs w:val="26"/>
        </w:rPr>
        <w:t xml:space="preserve">Positive Blood </w:t>
      </w:r>
      <w:r w:rsidR="00CE07FD">
        <w:rPr>
          <w:b/>
          <w:bCs/>
          <w:sz w:val="26"/>
          <w:szCs w:val="26"/>
        </w:rPr>
        <w:t>Culture</w:t>
      </w:r>
      <w:r w:rsidRPr="009C29CF">
        <w:rPr>
          <w:b/>
          <w:bCs/>
          <w:sz w:val="26"/>
          <w:szCs w:val="26"/>
        </w:rPr>
        <w:t xml:space="preserve"> Results Predominantly Unrevealed among Adults Patients with Sepsis</w:t>
      </w:r>
    </w:p>
    <w:p w14:paraId="395983C6" w14:textId="4912404C" w:rsidR="009C29CF" w:rsidRPr="007546BC" w:rsidRDefault="009C29CF" w:rsidP="007546BC">
      <w:pPr>
        <w:spacing w:before="120" w:after="120"/>
        <w:jc w:val="center"/>
        <w:outlineLvl w:val="0"/>
        <w:rPr>
          <w:b/>
          <w:bCs/>
          <w:i/>
          <w:iCs/>
          <w:sz w:val="26"/>
          <w:szCs w:val="26"/>
          <w:vertAlign w:val="superscript"/>
        </w:rPr>
      </w:pPr>
      <w:r w:rsidRPr="007546BC">
        <w:rPr>
          <w:b/>
          <w:bCs/>
          <w:i/>
          <w:iCs/>
          <w:sz w:val="26"/>
          <w:szCs w:val="26"/>
        </w:rPr>
        <w:t>Valentine Hursepuny</w:t>
      </w:r>
      <w:r w:rsidRPr="007546BC">
        <w:rPr>
          <w:b/>
          <w:bCs/>
          <w:i/>
          <w:iCs/>
          <w:sz w:val="26"/>
          <w:szCs w:val="26"/>
          <w:vertAlign w:val="superscript"/>
        </w:rPr>
        <w:t>1</w:t>
      </w:r>
      <w:r w:rsidRPr="007546BC">
        <w:rPr>
          <w:b/>
          <w:bCs/>
          <w:i/>
          <w:iCs/>
          <w:sz w:val="26"/>
          <w:szCs w:val="26"/>
        </w:rPr>
        <w:t>, Baedah Madjid</w:t>
      </w:r>
      <w:r w:rsidR="00DC5345" w:rsidRPr="007546BC">
        <w:rPr>
          <w:b/>
          <w:bCs/>
          <w:i/>
          <w:iCs/>
          <w:sz w:val="26"/>
          <w:szCs w:val="26"/>
          <w:vertAlign w:val="superscript"/>
        </w:rPr>
        <w:t>2</w:t>
      </w:r>
      <w:r w:rsidRPr="007546BC">
        <w:rPr>
          <w:b/>
          <w:bCs/>
          <w:i/>
          <w:iCs/>
          <w:sz w:val="26"/>
          <w:szCs w:val="26"/>
        </w:rPr>
        <w:t xml:space="preserve">, </w:t>
      </w:r>
      <w:r w:rsidR="00831040" w:rsidRPr="007546BC">
        <w:rPr>
          <w:b/>
          <w:bCs/>
          <w:i/>
          <w:iCs/>
          <w:sz w:val="26"/>
          <w:szCs w:val="26"/>
        </w:rPr>
        <w:t>Firdaus Hamid</w:t>
      </w:r>
      <w:r w:rsidR="00DC5345" w:rsidRPr="007546BC">
        <w:rPr>
          <w:b/>
          <w:bCs/>
          <w:i/>
          <w:iCs/>
          <w:sz w:val="26"/>
          <w:szCs w:val="26"/>
          <w:vertAlign w:val="superscript"/>
        </w:rPr>
        <w:t>3</w:t>
      </w:r>
      <w:r w:rsidR="00831040" w:rsidRPr="007546BC">
        <w:rPr>
          <w:b/>
          <w:bCs/>
          <w:i/>
          <w:iCs/>
          <w:sz w:val="26"/>
          <w:szCs w:val="26"/>
        </w:rPr>
        <w:t>*, Mochammad Hatta</w:t>
      </w:r>
      <w:r w:rsidR="00DC5345" w:rsidRPr="007546BC">
        <w:rPr>
          <w:b/>
          <w:bCs/>
          <w:i/>
          <w:iCs/>
          <w:sz w:val="26"/>
          <w:szCs w:val="26"/>
          <w:vertAlign w:val="superscript"/>
        </w:rPr>
        <w:t>4</w:t>
      </w:r>
      <w:r w:rsidR="00831040" w:rsidRPr="007546BC">
        <w:rPr>
          <w:b/>
          <w:bCs/>
          <w:i/>
          <w:iCs/>
          <w:sz w:val="26"/>
          <w:szCs w:val="26"/>
        </w:rPr>
        <w:t>, Muhammad Nasrum Massi</w:t>
      </w:r>
      <w:r w:rsidR="00DC5345" w:rsidRPr="007546BC">
        <w:rPr>
          <w:b/>
          <w:bCs/>
          <w:i/>
          <w:iCs/>
          <w:sz w:val="26"/>
          <w:szCs w:val="26"/>
          <w:vertAlign w:val="superscript"/>
        </w:rPr>
        <w:t>5</w:t>
      </w:r>
      <w:r w:rsidR="00831040" w:rsidRPr="007546BC">
        <w:rPr>
          <w:b/>
          <w:bCs/>
          <w:i/>
          <w:iCs/>
          <w:sz w:val="26"/>
          <w:szCs w:val="26"/>
        </w:rPr>
        <w:t>, Rizalinda Sjahril</w:t>
      </w:r>
      <w:r w:rsidR="00DC5345" w:rsidRPr="007546BC">
        <w:rPr>
          <w:b/>
          <w:bCs/>
          <w:i/>
          <w:iCs/>
          <w:sz w:val="26"/>
          <w:szCs w:val="26"/>
          <w:vertAlign w:val="superscript"/>
        </w:rPr>
        <w:t>6</w:t>
      </w:r>
      <w:r w:rsidR="00831040" w:rsidRPr="007546BC">
        <w:rPr>
          <w:b/>
          <w:bCs/>
          <w:i/>
          <w:iCs/>
          <w:sz w:val="26"/>
          <w:szCs w:val="26"/>
        </w:rPr>
        <w:t>, Yoeke Dewi Rasita</w:t>
      </w:r>
      <w:r w:rsidR="00DC5345" w:rsidRPr="007546BC">
        <w:rPr>
          <w:b/>
          <w:bCs/>
          <w:i/>
          <w:iCs/>
          <w:sz w:val="26"/>
          <w:szCs w:val="26"/>
          <w:vertAlign w:val="superscript"/>
        </w:rPr>
        <w:t>7</w:t>
      </w:r>
      <w:r w:rsidR="00831040" w:rsidRPr="007546BC">
        <w:rPr>
          <w:b/>
          <w:bCs/>
          <w:i/>
          <w:iCs/>
          <w:sz w:val="26"/>
          <w:szCs w:val="26"/>
        </w:rPr>
        <w:t>, Lisa Tenriesa</w:t>
      </w:r>
      <w:r w:rsidR="00DC5345" w:rsidRPr="007546BC">
        <w:rPr>
          <w:b/>
          <w:bCs/>
          <w:i/>
          <w:iCs/>
          <w:sz w:val="26"/>
          <w:szCs w:val="26"/>
          <w:vertAlign w:val="superscript"/>
        </w:rPr>
        <w:t>8</w:t>
      </w:r>
      <w:r w:rsidR="00831040" w:rsidRPr="007546BC">
        <w:rPr>
          <w:b/>
          <w:bCs/>
          <w:i/>
          <w:iCs/>
          <w:sz w:val="26"/>
          <w:szCs w:val="26"/>
        </w:rPr>
        <w:t xml:space="preserve">, </w:t>
      </w:r>
      <w:r w:rsidRPr="007546BC">
        <w:rPr>
          <w:b/>
          <w:bCs/>
          <w:i/>
          <w:iCs/>
          <w:sz w:val="26"/>
          <w:szCs w:val="26"/>
        </w:rPr>
        <w:t>Andi Rofian Sultan</w:t>
      </w:r>
      <w:r w:rsidR="00DC5345" w:rsidRPr="007546BC">
        <w:rPr>
          <w:b/>
          <w:bCs/>
          <w:i/>
          <w:iCs/>
          <w:sz w:val="26"/>
          <w:szCs w:val="26"/>
          <w:vertAlign w:val="superscript"/>
        </w:rPr>
        <w:t>9</w:t>
      </w:r>
    </w:p>
    <w:p w14:paraId="3A21077D" w14:textId="4159CF0C" w:rsidR="009C29CF" w:rsidRPr="001F5045" w:rsidRDefault="009C29CF" w:rsidP="0004060E">
      <w:pPr>
        <w:pStyle w:val="ListParagraph"/>
        <w:ind w:left="0"/>
        <w:jc w:val="center"/>
        <w:rPr>
          <w:iCs/>
        </w:rPr>
      </w:pPr>
      <w:bookmarkStart w:id="0" w:name="_Hlk136875299"/>
      <w:r w:rsidRPr="001F5045">
        <w:rPr>
          <w:iCs/>
          <w:vertAlign w:val="superscript"/>
        </w:rPr>
        <w:t>1</w:t>
      </w:r>
      <w:r w:rsidR="00DC5345" w:rsidRPr="001F5045">
        <w:rPr>
          <w:iCs/>
          <w:vertAlign w:val="superscript"/>
        </w:rPr>
        <w:t>,2,3,4,5,6,8,9</w:t>
      </w:r>
      <w:r w:rsidRPr="001F5045">
        <w:rPr>
          <w:iCs/>
        </w:rPr>
        <w:t>Department of Microbiology, Faculty of Medicine Hasanuddin University Makassar, South Sulawesi, Indonesia</w:t>
      </w:r>
    </w:p>
    <w:bookmarkEnd w:id="0"/>
    <w:p w14:paraId="307596DE" w14:textId="4F55B326" w:rsidR="00831040" w:rsidRPr="001F5045" w:rsidRDefault="00DC5345" w:rsidP="0004060E">
      <w:pPr>
        <w:pStyle w:val="ListParagraph"/>
        <w:ind w:left="0"/>
        <w:jc w:val="center"/>
        <w:rPr>
          <w:iCs/>
        </w:rPr>
      </w:pPr>
      <w:r w:rsidRPr="001F5045">
        <w:rPr>
          <w:iCs/>
          <w:vertAlign w:val="superscript"/>
        </w:rPr>
        <w:t>1</w:t>
      </w:r>
      <w:r w:rsidR="009C29CF" w:rsidRPr="001F5045">
        <w:rPr>
          <w:iCs/>
        </w:rPr>
        <w:t>Faculty of Medicine Pattimura University Ambon, Maluku, Indonesia</w:t>
      </w:r>
    </w:p>
    <w:p w14:paraId="3C8205B4" w14:textId="77777777" w:rsidR="0004060E" w:rsidRPr="001F5045" w:rsidRDefault="00DC5345" w:rsidP="0004060E">
      <w:pPr>
        <w:pStyle w:val="ListParagraph"/>
        <w:ind w:left="0"/>
        <w:jc w:val="center"/>
        <w:rPr>
          <w:iCs/>
        </w:rPr>
      </w:pPr>
      <w:r w:rsidRPr="001F5045">
        <w:rPr>
          <w:iCs/>
          <w:vertAlign w:val="superscript"/>
        </w:rPr>
        <w:t>7</w:t>
      </w:r>
      <w:r w:rsidR="00831040" w:rsidRPr="001F5045">
        <w:rPr>
          <w:iCs/>
        </w:rPr>
        <w:t>Health Laboratory Center for Makassar, South Sulawesi, Indonesia</w:t>
      </w:r>
    </w:p>
    <w:p w14:paraId="33B93A3C" w14:textId="63FBD615" w:rsidR="0004060E" w:rsidRPr="0004060E" w:rsidRDefault="009C29CF" w:rsidP="0004060E">
      <w:pPr>
        <w:spacing w:before="120" w:line="276" w:lineRule="auto"/>
        <w:jc w:val="center"/>
      </w:pPr>
      <w:r w:rsidRPr="0004060E">
        <w:t xml:space="preserve">Email: </w:t>
      </w:r>
      <w:hyperlink r:id="rId9" w:history="1">
        <w:r w:rsidR="0004060E" w:rsidRPr="002634C4">
          <w:rPr>
            <w:rStyle w:val="Hyperlink"/>
          </w:rPr>
          <w:t>firdaus.hamid@med.unhas.ac.id</w:t>
        </w:r>
      </w:hyperlink>
    </w:p>
    <w:p w14:paraId="7C75415D" w14:textId="77777777" w:rsidR="009C29CF" w:rsidRPr="00B07F94" w:rsidRDefault="009C29CF" w:rsidP="00B07F94">
      <w:pPr>
        <w:outlineLvl w:val="0"/>
        <w:rPr>
          <w:sz w:val="20"/>
          <w:szCs w:val="20"/>
        </w:rPr>
      </w:pPr>
    </w:p>
    <w:p w14:paraId="52533614" w14:textId="77777777" w:rsidR="009C29CF" w:rsidRPr="00B07F94" w:rsidRDefault="009C29CF" w:rsidP="0004060E">
      <w:pPr>
        <w:rPr>
          <w:sz w:val="20"/>
          <w:szCs w:val="20"/>
        </w:rPr>
        <w:sectPr w:rsidR="009C29CF" w:rsidRPr="00B07F94" w:rsidSect="007E4A41">
          <w:footerReference w:type="default" r:id="rId10"/>
          <w:pgSz w:w="11906" w:h="16838" w:code="9"/>
          <w:pgMar w:top="1440" w:right="1440" w:bottom="1440" w:left="1440" w:header="720" w:footer="720" w:gutter="0"/>
          <w:pgNumType w:start="18"/>
          <w:cols w:space="720"/>
          <w:titlePg/>
          <w:docGrid w:linePitch="360"/>
        </w:sectPr>
      </w:pPr>
    </w:p>
    <w:p w14:paraId="226C6C22" w14:textId="6A6FDFFB" w:rsidR="009C29CF" w:rsidRPr="00A77C83" w:rsidRDefault="009C29CF" w:rsidP="009C29CF">
      <w:pPr>
        <w:rPr>
          <w:rFonts w:ascii="Std" w:hAnsi="Std"/>
          <w:i/>
          <w:sz w:val="14"/>
          <w:szCs w:val="14"/>
        </w:rPr>
      </w:pPr>
      <w:r w:rsidRPr="00A77C83">
        <w:rPr>
          <w:rFonts w:ascii="Std" w:hAnsi="Std"/>
          <w:i/>
          <w:sz w:val="14"/>
          <w:szCs w:val="14"/>
        </w:rPr>
        <w:t>Submitted:</w:t>
      </w:r>
      <w:r w:rsidRPr="00A77C83">
        <w:rPr>
          <w:rFonts w:ascii="Std" w:hAnsi="Std"/>
          <w:i/>
          <w:spacing w:val="-6"/>
          <w:sz w:val="14"/>
          <w:szCs w:val="14"/>
        </w:rPr>
        <w:t xml:space="preserve"> </w:t>
      </w:r>
      <w:r w:rsidR="00DE345A" w:rsidRPr="00A77C83">
        <w:rPr>
          <w:rFonts w:ascii="Std" w:hAnsi="Std"/>
          <w:i/>
          <w:spacing w:val="-6"/>
          <w:sz w:val="14"/>
          <w:szCs w:val="14"/>
        </w:rPr>
        <w:t>1</w:t>
      </w:r>
      <w:r w:rsidRPr="00A77C83">
        <w:rPr>
          <w:rFonts w:ascii="Std" w:hAnsi="Std"/>
          <w:i/>
          <w:spacing w:val="-6"/>
          <w:sz w:val="14"/>
          <w:szCs w:val="14"/>
        </w:rPr>
        <w:t>0-</w:t>
      </w:r>
      <w:r w:rsidR="00DE345A" w:rsidRPr="00A77C83">
        <w:rPr>
          <w:rFonts w:ascii="Std" w:hAnsi="Std"/>
          <w:i/>
          <w:spacing w:val="-6"/>
          <w:sz w:val="14"/>
          <w:szCs w:val="14"/>
        </w:rPr>
        <w:t>10</w:t>
      </w:r>
      <w:r w:rsidRPr="00A77C83">
        <w:rPr>
          <w:rFonts w:ascii="Std" w:hAnsi="Std"/>
          <w:i/>
          <w:spacing w:val="-6"/>
          <w:sz w:val="14"/>
          <w:szCs w:val="14"/>
        </w:rPr>
        <w:t>-2023</w:t>
      </w:r>
    </w:p>
    <w:p w14:paraId="347D0774" w14:textId="0EAC3FB4" w:rsidR="009C29CF" w:rsidRPr="00A77C83" w:rsidRDefault="009C29CF" w:rsidP="009C29CF">
      <w:pPr>
        <w:rPr>
          <w:rFonts w:ascii="Std" w:hAnsi="Std"/>
          <w:i/>
          <w:sz w:val="14"/>
          <w:szCs w:val="14"/>
        </w:rPr>
      </w:pPr>
      <w:r w:rsidRPr="00A77C83">
        <w:rPr>
          <w:rFonts w:ascii="Std" w:hAnsi="Std"/>
          <w:i/>
          <w:sz w:val="14"/>
          <w:szCs w:val="14"/>
        </w:rPr>
        <w:t>Revised:</w:t>
      </w:r>
      <w:r w:rsidRPr="00A77C83">
        <w:rPr>
          <w:rFonts w:ascii="Std" w:hAnsi="Std"/>
          <w:i/>
          <w:spacing w:val="-7"/>
          <w:sz w:val="14"/>
          <w:szCs w:val="14"/>
        </w:rPr>
        <w:t xml:space="preserve"> </w:t>
      </w:r>
      <w:r w:rsidR="007C0B8D" w:rsidRPr="00A77C83">
        <w:rPr>
          <w:rFonts w:ascii="Std" w:hAnsi="Std"/>
          <w:i/>
          <w:spacing w:val="-7"/>
          <w:sz w:val="14"/>
          <w:szCs w:val="14"/>
        </w:rPr>
        <w:t>17</w:t>
      </w:r>
      <w:r w:rsidRPr="00A77C83">
        <w:rPr>
          <w:rFonts w:ascii="Std" w:hAnsi="Std"/>
          <w:i/>
          <w:spacing w:val="-7"/>
          <w:sz w:val="14"/>
          <w:szCs w:val="14"/>
        </w:rPr>
        <w:t>-</w:t>
      </w:r>
      <w:r w:rsidR="00DE345A" w:rsidRPr="00A77C83">
        <w:rPr>
          <w:rFonts w:ascii="Std" w:hAnsi="Std"/>
          <w:i/>
          <w:spacing w:val="-7"/>
          <w:sz w:val="14"/>
          <w:szCs w:val="14"/>
        </w:rPr>
        <w:t>11</w:t>
      </w:r>
      <w:r w:rsidRPr="00A77C83">
        <w:rPr>
          <w:rFonts w:ascii="Std" w:hAnsi="Std"/>
          <w:i/>
          <w:spacing w:val="-7"/>
          <w:sz w:val="14"/>
          <w:szCs w:val="14"/>
        </w:rPr>
        <w:t>-2023</w:t>
      </w:r>
    </w:p>
    <w:p w14:paraId="3B93C256" w14:textId="7B2AE725" w:rsidR="009C29CF" w:rsidRPr="00232E01" w:rsidRDefault="009C29CF" w:rsidP="009C29CF">
      <w:pPr>
        <w:rPr>
          <w:rFonts w:ascii="Std" w:hAnsi="Std"/>
          <w:i/>
          <w:sz w:val="14"/>
          <w:szCs w:val="14"/>
        </w:rPr>
      </w:pPr>
      <w:r w:rsidRPr="00A77C83">
        <w:rPr>
          <w:rFonts w:ascii="Std" w:hAnsi="Std"/>
          <w:i/>
          <w:sz w:val="14"/>
          <w:szCs w:val="14"/>
        </w:rPr>
        <w:t>Accepted:</w:t>
      </w:r>
      <w:r w:rsidRPr="00A77C83">
        <w:rPr>
          <w:rFonts w:ascii="Std" w:hAnsi="Std"/>
          <w:i/>
          <w:spacing w:val="-7"/>
          <w:sz w:val="14"/>
          <w:szCs w:val="14"/>
        </w:rPr>
        <w:t xml:space="preserve"> 2</w:t>
      </w:r>
      <w:r w:rsidR="007C0B8D" w:rsidRPr="00A77C83">
        <w:rPr>
          <w:rFonts w:ascii="Std" w:hAnsi="Std"/>
          <w:i/>
          <w:spacing w:val="-7"/>
          <w:sz w:val="14"/>
          <w:szCs w:val="14"/>
        </w:rPr>
        <w:t>1</w:t>
      </w:r>
      <w:r w:rsidRPr="00A77C83">
        <w:rPr>
          <w:rFonts w:ascii="Std" w:hAnsi="Std"/>
          <w:i/>
          <w:spacing w:val="-7"/>
          <w:sz w:val="14"/>
          <w:szCs w:val="14"/>
        </w:rPr>
        <w:t>-</w:t>
      </w:r>
      <w:r w:rsidR="007C0B8D" w:rsidRPr="00A77C83">
        <w:rPr>
          <w:rFonts w:ascii="Std" w:hAnsi="Std"/>
          <w:i/>
          <w:spacing w:val="-7"/>
          <w:sz w:val="14"/>
          <w:szCs w:val="14"/>
        </w:rPr>
        <w:t>11</w:t>
      </w:r>
      <w:r w:rsidRPr="00A77C83">
        <w:rPr>
          <w:rFonts w:ascii="Std" w:hAnsi="Std"/>
          <w:i/>
          <w:spacing w:val="-7"/>
          <w:sz w:val="14"/>
          <w:szCs w:val="14"/>
        </w:rPr>
        <w:t>-2023</w:t>
      </w:r>
    </w:p>
    <w:p w14:paraId="2E9324E0" w14:textId="77777777" w:rsidR="009C29CF" w:rsidRPr="00232E01" w:rsidRDefault="009C29CF" w:rsidP="009C29CF">
      <w:pPr>
        <w:pStyle w:val="BodyText"/>
        <w:jc w:val="left"/>
        <w:rPr>
          <w:rFonts w:ascii="Std" w:hAnsi="Std"/>
          <w:i/>
          <w:sz w:val="14"/>
          <w:szCs w:val="14"/>
        </w:rPr>
      </w:pPr>
    </w:p>
    <w:p w14:paraId="5DFA71BA" w14:textId="3510CFC7" w:rsidR="009C29CF" w:rsidRPr="00636BDF" w:rsidRDefault="009C29CF" w:rsidP="009C29CF">
      <w:pPr>
        <w:rPr>
          <w:rFonts w:ascii="Std" w:hAnsi="Std"/>
          <w:bCs/>
          <w:sz w:val="14"/>
          <w:szCs w:val="14"/>
        </w:rPr>
      </w:pPr>
      <w:r w:rsidRPr="00636BDF">
        <w:rPr>
          <w:rFonts w:ascii="Std" w:hAnsi="Std"/>
          <w:b/>
          <w:sz w:val="14"/>
          <w:szCs w:val="14"/>
        </w:rPr>
        <w:t>How to cite:</w:t>
      </w:r>
      <w:r w:rsidRPr="007C0B8D">
        <w:rPr>
          <w:rFonts w:ascii="Std" w:hAnsi="Std"/>
          <w:b/>
          <w:sz w:val="14"/>
          <w:szCs w:val="14"/>
        </w:rPr>
        <w:t xml:space="preserve"> </w:t>
      </w:r>
      <w:r w:rsidR="00636BDF" w:rsidRPr="00636BDF">
        <w:rPr>
          <w:rFonts w:ascii="Std" w:hAnsi="Std"/>
          <w:sz w:val="14"/>
          <w:szCs w:val="14"/>
        </w:rPr>
        <w:t>Hursepuny, V., Baedah Madjid, Firdaus Hamid, Mochammad Hatta, Muh. Nasrum Massi, Rizalinda Sjahril, Yoeke Dewi Rasita, Lisa Tenriesa, &amp; Andi Rofian Sultan. (2024). Positive Blood Culture Results Predominantly Unrevealed among Adults Patients with Sepsis. </w:t>
      </w:r>
      <w:r w:rsidR="00636BDF" w:rsidRPr="00636BDF">
        <w:rPr>
          <w:rFonts w:ascii="Std" w:hAnsi="Std"/>
          <w:i/>
          <w:iCs/>
          <w:sz w:val="14"/>
          <w:szCs w:val="14"/>
        </w:rPr>
        <w:t>Alami Journal (Alauddin Islamic Medical) Journal</w:t>
      </w:r>
      <w:r w:rsidR="00636BDF" w:rsidRPr="00636BDF">
        <w:rPr>
          <w:rFonts w:ascii="Std" w:hAnsi="Std"/>
          <w:sz w:val="14"/>
          <w:szCs w:val="14"/>
        </w:rPr>
        <w:t>, </w:t>
      </w:r>
      <w:r w:rsidR="00636BDF" w:rsidRPr="00636BDF">
        <w:rPr>
          <w:rFonts w:ascii="Std" w:hAnsi="Std"/>
          <w:i/>
          <w:iCs/>
          <w:sz w:val="14"/>
          <w:szCs w:val="14"/>
        </w:rPr>
        <w:t>8</w:t>
      </w:r>
      <w:r w:rsidR="00636BDF" w:rsidRPr="00636BDF">
        <w:rPr>
          <w:rFonts w:ascii="Std" w:hAnsi="Std"/>
          <w:sz w:val="14"/>
          <w:szCs w:val="14"/>
        </w:rPr>
        <w:t>(1), 17-23.</w:t>
      </w:r>
    </w:p>
    <w:p w14:paraId="6BE9C9EE" w14:textId="77777777" w:rsidR="009C29CF" w:rsidRPr="00422DDB" w:rsidRDefault="009C29CF" w:rsidP="009C29CF">
      <w:pPr>
        <w:rPr>
          <w:rFonts w:ascii="Std" w:hAnsi="Std"/>
          <w:sz w:val="14"/>
          <w:szCs w:val="14"/>
          <w:highlight w:val="yellow"/>
        </w:rPr>
      </w:pPr>
    </w:p>
    <w:p w14:paraId="02F495BE" w14:textId="57986C63" w:rsidR="009C29CF" w:rsidRPr="00232E01" w:rsidRDefault="009C29CF" w:rsidP="009C29CF">
      <w:pPr>
        <w:rPr>
          <w:rFonts w:ascii="Std" w:hAnsi="Std"/>
          <w:sz w:val="14"/>
          <w:szCs w:val="14"/>
        </w:rPr>
      </w:pPr>
      <w:r w:rsidRPr="00A77C83">
        <w:rPr>
          <w:rFonts w:ascii="Std" w:hAnsi="Std"/>
          <w:sz w:val="14"/>
          <w:szCs w:val="14"/>
        </w:rPr>
        <w:t xml:space="preserve">DOI: </w:t>
      </w:r>
      <w:hyperlink r:id="rId11" w:history="1">
        <w:r w:rsidR="00A77C83" w:rsidRPr="00636BDF">
          <w:rPr>
            <w:rStyle w:val="Hyperlink"/>
            <w:rFonts w:ascii="Std" w:hAnsi="Std"/>
            <w:sz w:val="14"/>
            <w:szCs w:val="14"/>
          </w:rPr>
          <w:t>10.24252/alami.v8i1.41777</w:t>
        </w:r>
      </w:hyperlink>
    </w:p>
    <w:p w14:paraId="7C214B3F" w14:textId="77777777" w:rsidR="009C29CF" w:rsidRPr="00232E01" w:rsidRDefault="009C29CF" w:rsidP="009C29CF">
      <w:pPr>
        <w:pStyle w:val="BodyText"/>
        <w:jc w:val="left"/>
        <w:rPr>
          <w:rFonts w:ascii="Std" w:hAnsi="Std"/>
          <w:sz w:val="14"/>
          <w:szCs w:val="14"/>
        </w:rPr>
      </w:pPr>
    </w:p>
    <w:p w14:paraId="2450BD0E" w14:textId="77777777" w:rsidR="009C29CF" w:rsidRPr="00232E01" w:rsidRDefault="009C29CF" w:rsidP="009C29CF">
      <w:pPr>
        <w:rPr>
          <w:rFonts w:ascii="Std" w:hAnsi="Std"/>
          <w:sz w:val="14"/>
          <w:szCs w:val="14"/>
        </w:rPr>
      </w:pPr>
      <w:r w:rsidRPr="00232E01">
        <w:rPr>
          <w:rFonts w:ascii="Std" w:hAnsi="Std"/>
          <w:sz w:val="14"/>
          <w:szCs w:val="14"/>
        </w:rPr>
        <w:t>Copyright 2023 ©the</w:t>
      </w:r>
      <w:r w:rsidRPr="00232E01">
        <w:rPr>
          <w:rFonts w:ascii="Std" w:hAnsi="Std"/>
          <w:spacing w:val="-33"/>
          <w:sz w:val="14"/>
          <w:szCs w:val="14"/>
        </w:rPr>
        <w:t xml:space="preserve"> </w:t>
      </w:r>
      <w:r w:rsidRPr="00232E01">
        <w:rPr>
          <w:rFonts w:ascii="Std" w:hAnsi="Std"/>
          <w:sz w:val="14"/>
          <w:szCs w:val="14"/>
        </w:rPr>
        <w:t>Author(s)</w:t>
      </w:r>
    </w:p>
    <w:p w14:paraId="487194BB" w14:textId="77777777" w:rsidR="009C29CF" w:rsidRPr="00232E01" w:rsidRDefault="009C29CF" w:rsidP="009C29CF">
      <w:pPr>
        <w:pStyle w:val="BodyText"/>
        <w:jc w:val="left"/>
        <w:rPr>
          <w:rFonts w:ascii="Std" w:hAnsi="Std"/>
          <w:sz w:val="14"/>
          <w:szCs w:val="14"/>
        </w:rPr>
      </w:pPr>
    </w:p>
    <w:p w14:paraId="4863B12F" w14:textId="77777777" w:rsidR="009C29CF" w:rsidRPr="00232E01" w:rsidRDefault="009C29CF" w:rsidP="009C29CF">
      <w:pPr>
        <w:rPr>
          <w:rFonts w:ascii="Std" w:hAnsi="Std"/>
          <w:sz w:val="14"/>
          <w:szCs w:val="14"/>
        </w:rPr>
      </w:pPr>
      <w:r w:rsidRPr="00232E01">
        <w:rPr>
          <w:rFonts w:ascii="Std" w:hAnsi="Std"/>
          <w:sz w:val="14"/>
          <w:szCs w:val="14"/>
        </w:rPr>
        <w:t>This</w:t>
      </w:r>
      <w:r w:rsidRPr="00232E01">
        <w:rPr>
          <w:rFonts w:ascii="Std" w:hAnsi="Std"/>
          <w:spacing w:val="6"/>
          <w:sz w:val="14"/>
          <w:szCs w:val="14"/>
        </w:rPr>
        <w:t xml:space="preserve"> </w:t>
      </w:r>
      <w:r w:rsidRPr="00232E01">
        <w:rPr>
          <w:rFonts w:ascii="Std" w:hAnsi="Std"/>
          <w:sz w:val="14"/>
          <w:szCs w:val="14"/>
        </w:rPr>
        <w:t>work</w:t>
      </w:r>
      <w:r w:rsidRPr="00232E01">
        <w:rPr>
          <w:rFonts w:ascii="Std" w:hAnsi="Std"/>
          <w:spacing w:val="7"/>
          <w:sz w:val="14"/>
          <w:szCs w:val="14"/>
        </w:rPr>
        <w:t xml:space="preserve"> </w:t>
      </w:r>
      <w:r w:rsidRPr="00232E01">
        <w:rPr>
          <w:rFonts w:ascii="Std" w:hAnsi="Std"/>
          <w:sz w:val="14"/>
          <w:szCs w:val="14"/>
        </w:rPr>
        <w:t>is</w:t>
      </w:r>
      <w:r w:rsidRPr="00232E01">
        <w:rPr>
          <w:rFonts w:ascii="Std" w:hAnsi="Std"/>
          <w:spacing w:val="6"/>
          <w:sz w:val="14"/>
          <w:szCs w:val="14"/>
        </w:rPr>
        <w:t xml:space="preserve"> </w:t>
      </w:r>
      <w:r w:rsidRPr="00232E01">
        <w:rPr>
          <w:rFonts w:ascii="Std" w:hAnsi="Std"/>
          <w:sz w:val="14"/>
          <w:szCs w:val="14"/>
        </w:rPr>
        <w:t>licensed</w:t>
      </w:r>
      <w:r w:rsidRPr="00232E01">
        <w:rPr>
          <w:rFonts w:ascii="Std" w:hAnsi="Std"/>
          <w:spacing w:val="6"/>
          <w:sz w:val="14"/>
          <w:szCs w:val="14"/>
        </w:rPr>
        <w:t xml:space="preserve"> </w:t>
      </w:r>
      <w:r w:rsidRPr="00232E01">
        <w:rPr>
          <w:rFonts w:ascii="Std" w:hAnsi="Std"/>
          <w:sz w:val="14"/>
          <w:szCs w:val="14"/>
        </w:rPr>
        <w:t>under</w:t>
      </w:r>
      <w:r w:rsidRPr="00232E01">
        <w:rPr>
          <w:rFonts w:ascii="Std" w:hAnsi="Std"/>
          <w:spacing w:val="1"/>
          <w:sz w:val="14"/>
          <w:szCs w:val="14"/>
        </w:rPr>
        <w:t xml:space="preserve"> </w:t>
      </w:r>
      <w:r w:rsidRPr="00232E01">
        <w:rPr>
          <w:rFonts w:ascii="Std" w:hAnsi="Std"/>
          <w:sz w:val="14"/>
          <w:szCs w:val="14"/>
        </w:rPr>
        <w:t xml:space="preserve">a </w:t>
      </w:r>
      <w:hyperlink r:id="rId12">
        <w:r w:rsidRPr="00232E01">
          <w:rPr>
            <w:rFonts w:ascii="Std" w:hAnsi="Std"/>
            <w:color w:val="1183DA"/>
            <w:sz w:val="14"/>
            <w:szCs w:val="14"/>
            <w:u w:val="single" w:color="1183DA"/>
          </w:rPr>
          <w:t>Creative Commons</w:t>
        </w:r>
      </w:hyperlink>
      <w:r w:rsidRPr="00232E01">
        <w:rPr>
          <w:rFonts w:ascii="Std" w:hAnsi="Std"/>
          <w:color w:val="1183DA"/>
          <w:spacing w:val="1"/>
          <w:sz w:val="14"/>
          <w:szCs w:val="14"/>
        </w:rPr>
        <w:t xml:space="preserve"> </w:t>
      </w:r>
      <w:hyperlink r:id="rId13">
        <w:r w:rsidRPr="00232E01">
          <w:rPr>
            <w:rFonts w:ascii="Std" w:hAnsi="Std"/>
            <w:color w:val="1183DA"/>
            <w:sz w:val="14"/>
            <w:szCs w:val="14"/>
            <w:u w:val="single" w:color="1183DA"/>
          </w:rPr>
          <w:t>Attribution-NonCommercial-</w:t>
        </w:r>
      </w:hyperlink>
      <w:r w:rsidRPr="00232E01">
        <w:rPr>
          <w:rFonts w:ascii="Std" w:hAnsi="Std"/>
          <w:color w:val="1183DA"/>
          <w:spacing w:val="-33"/>
          <w:sz w:val="14"/>
          <w:szCs w:val="14"/>
        </w:rPr>
        <w:t xml:space="preserve"> </w:t>
      </w:r>
      <w:hyperlink r:id="rId14">
        <w:r w:rsidRPr="00232E01">
          <w:rPr>
            <w:rFonts w:ascii="Std" w:hAnsi="Std"/>
            <w:color w:val="1183DA"/>
            <w:sz w:val="14"/>
            <w:szCs w:val="14"/>
            <w:u w:val="single" w:color="1183DA"/>
          </w:rPr>
          <w:t>ShareAlike 4.0 Internationa</w:t>
        </w:r>
        <w:r w:rsidRPr="00232E01">
          <w:rPr>
            <w:rFonts w:ascii="Std" w:hAnsi="Std"/>
            <w:color w:val="1183DA"/>
            <w:sz w:val="14"/>
            <w:szCs w:val="14"/>
          </w:rPr>
          <w:t>l</w:t>
        </w:r>
      </w:hyperlink>
      <w:r w:rsidRPr="00232E01">
        <w:rPr>
          <w:rFonts w:ascii="Std" w:hAnsi="Std"/>
          <w:color w:val="1183DA"/>
          <w:spacing w:val="1"/>
          <w:sz w:val="14"/>
          <w:szCs w:val="14"/>
        </w:rPr>
        <w:t xml:space="preserve"> </w:t>
      </w:r>
      <w:hyperlink r:id="rId15">
        <w:r w:rsidRPr="00232E01">
          <w:rPr>
            <w:rFonts w:ascii="Std" w:hAnsi="Std"/>
            <w:color w:val="1183DA"/>
            <w:sz w:val="14"/>
            <w:szCs w:val="14"/>
            <w:u w:val="single" w:color="1183DA"/>
          </w:rPr>
          <w:t>License</w:t>
        </w:r>
      </w:hyperlink>
    </w:p>
    <w:p w14:paraId="33913D74" w14:textId="77777777" w:rsidR="009C29CF" w:rsidRPr="00232E01" w:rsidRDefault="009C29CF" w:rsidP="009C29CF">
      <w:pPr>
        <w:pStyle w:val="BodyText"/>
        <w:jc w:val="left"/>
        <w:rPr>
          <w:rFonts w:ascii="Std" w:hAnsi="Std"/>
          <w:sz w:val="14"/>
          <w:szCs w:val="14"/>
        </w:rPr>
      </w:pPr>
    </w:p>
    <w:p w14:paraId="65EF5BC3" w14:textId="77777777" w:rsidR="009C29CF" w:rsidRPr="00232E01" w:rsidRDefault="009C29CF" w:rsidP="009C29CF">
      <w:pPr>
        <w:pStyle w:val="BodyText"/>
        <w:jc w:val="left"/>
        <w:rPr>
          <w:rFonts w:ascii="Std" w:hAnsi="Std"/>
          <w:sz w:val="14"/>
          <w:szCs w:val="14"/>
        </w:rPr>
      </w:pPr>
      <w:r w:rsidRPr="00232E01">
        <w:rPr>
          <w:rFonts w:ascii="Std" w:hAnsi="Std"/>
          <w:noProof/>
          <w:sz w:val="14"/>
          <w:szCs w:val="14"/>
          <w:lang w:val="id-ID" w:eastAsia="id-ID"/>
        </w:rPr>
        <w:drawing>
          <wp:inline distT="0" distB="0" distL="0" distR="0" wp14:anchorId="2AA032C4" wp14:editId="5EC84465">
            <wp:extent cx="839808" cy="295275"/>
            <wp:effectExtent l="0" t="0" r="0" b="0"/>
            <wp:docPr id="323175581" name="Picture 323175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6" cstate="print"/>
                    <a:stretch>
                      <a:fillRect/>
                    </a:stretch>
                  </pic:blipFill>
                  <pic:spPr>
                    <a:xfrm>
                      <a:off x="0" y="0"/>
                      <a:ext cx="843462" cy="296560"/>
                    </a:xfrm>
                    <a:prstGeom prst="rect">
                      <a:avLst/>
                    </a:prstGeom>
                  </pic:spPr>
                </pic:pic>
              </a:graphicData>
            </a:graphic>
          </wp:inline>
        </w:drawing>
      </w:r>
    </w:p>
    <w:p w14:paraId="1EA82373" w14:textId="77777777" w:rsidR="009C29CF" w:rsidRDefault="009C29CF" w:rsidP="009C29CF">
      <w:pPr>
        <w:spacing w:line="276" w:lineRule="auto"/>
        <w:rPr>
          <w:b/>
          <w:bCs/>
          <w:sz w:val="20"/>
          <w:szCs w:val="20"/>
        </w:rPr>
      </w:pPr>
    </w:p>
    <w:p w14:paraId="36B28424" w14:textId="77777777" w:rsidR="009C29CF" w:rsidRDefault="009C29CF" w:rsidP="009C29CF">
      <w:pPr>
        <w:spacing w:line="276" w:lineRule="auto"/>
        <w:rPr>
          <w:b/>
          <w:bCs/>
          <w:sz w:val="20"/>
          <w:szCs w:val="20"/>
        </w:rPr>
      </w:pPr>
    </w:p>
    <w:p w14:paraId="5DCDA81F" w14:textId="77777777" w:rsidR="009C29CF" w:rsidRDefault="009C29CF" w:rsidP="009C29CF">
      <w:pPr>
        <w:spacing w:line="276" w:lineRule="auto"/>
        <w:rPr>
          <w:b/>
          <w:bCs/>
          <w:sz w:val="20"/>
          <w:szCs w:val="20"/>
        </w:rPr>
      </w:pPr>
    </w:p>
    <w:p w14:paraId="5FA6A102" w14:textId="77777777" w:rsidR="009C29CF" w:rsidRDefault="009C29CF" w:rsidP="009C29CF">
      <w:pPr>
        <w:spacing w:line="276" w:lineRule="auto"/>
        <w:rPr>
          <w:b/>
          <w:bCs/>
          <w:sz w:val="20"/>
          <w:szCs w:val="20"/>
        </w:rPr>
      </w:pPr>
    </w:p>
    <w:p w14:paraId="230D6305" w14:textId="77777777" w:rsidR="009C29CF" w:rsidRDefault="009C29CF" w:rsidP="009C29CF">
      <w:pPr>
        <w:spacing w:line="276" w:lineRule="auto"/>
        <w:rPr>
          <w:b/>
          <w:bCs/>
          <w:sz w:val="20"/>
          <w:szCs w:val="20"/>
        </w:rPr>
      </w:pPr>
    </w:p>
    <w:p w14:paraId="336A0820" w14:textId="77777777" w:rsidR="009C29CF" w:rsidRDefault="009C29CF" w:rsidP="009C29CF">
      <w:pPr>
        <w:spacing w:line="276" w:lineRule="auto"/>
        <w:rPr>
          <w:b/>
          <w:bCs/>
          <w:sz w:val="20"/>
          <w:szCs w:val="20"/>
        </w:rPr>
      </w:pPr>
    </w:p>
    <w:p w14:paraId="2B5C34DB" w14:textId="77777777" w:rsidR="009C29CF" w:rsidRDefault="009C29CF" w:rsidP="009C29CF">
      <w:pPr>
        <w:spacing w:line="276" w:lineRule="auto"/>
        <w:rPr>
          <w:b/>
          <w:bCs/>
          <w:sz w:val="20"/>
          <w:szCs w:val="20"/>
        </w:rPr>
      </w:pPr>
    </w:p>
    <w:p w14:paraId="285D3614" w14:textId="77777777" w:rsidR="009C29CF" w:rsidRDefault="009C29CF" w:rsidP="009C29CF">
      <w:pPr>
        <w:spacing w:line="276" w:lineRule="auto"/>
        <w:rPr>
          <w:b/>
          <w:bCs/>
          <w:sz w:val="20"/>
          <w:szCs w:val="20"/>
        </w:rPr>
      </w:pPr>
    </w:p>
    <w:p w14:paraId="133BF955" w14:textId="77777777" w:rsidR="009C29CF" w:rsidRDefault="009C29CF" w:rsidP="009C29CF">
      <w:pPr>
        <w:spacing w:line="276" w:lineRule="auto"/>
        <w:rPr>
          <w:b/>
          <w:bCs/>
          <w:sz w:val="20"/>
          <w:szCs w:val="20"/>
        </w:rPr>
      </w:pPr>
    </w:p>
    <w:p w14:paraId="6376139F" w14:textId="77777777" w:rsidR="009C29CF" w:rsidRDefault="009C29CF" w:rsidP="009C29CF">
      <w:pPr>
        <w:spacing w:line="276" w:lineRule="auto"/>
        <w:rPr>
          <w:b/>
          <w:bCs/>
          <w:sz w:val="20"/>
          <w:szCs w:val="20"/>
        </w:rPr>
      </w:pPr>
    </w:p>
    <w:p w14:paraId="5F5B6A81" w14:textId="77777777" w:rsidR="009C29CF" w:rsidRDefault="009C29CF" w:rsidP="009C29CF">
      <w:pPr>
        <w:spacing w:line="276" w:lineRule="auto"/>
        <w:rPr>
          <w:b/>
          <w:bCs/>
          <w:sz w:val="20"/>
          <w:szCs w:val="20"/>
        </w:rPr>
      </w:pPr>
    </w:p>
    <w:p w14:paraId="31F6558F" w14:textId="77777777" w:rsidR="009C29CF" w:rsidRDefault="009C29CF" w:rsidP="009C29CF">
      <w:pPr>
        <w:spacing w:line="276" w:lineRule="auto"/>
        <w:rPr>
          <w:b/>
          <w:bCs/>
          <w:sz w:val="20"/>
          <w:szCs w:val="20"/>
        </w:rPr>
      </w:pPr>
    </w:p>
    <w:p w14:paraId="6A8B5CF4" w14:textId="77777777" w:rsidR="00422DDB" w:rsidRDefault="00422DDB" w:rsidP="009C29CF">
      <w:pPr>
        <w:spacing w:line="276" w:lineRule="auto"/>
        <w:rPr>
          <w:b/>
          <w:bCs/>
          <w:sz w:val="20"/>
          <w:szCs w:val="20"/>
        </w:rPr>
      </w:pPr>
    </w:p>
    <w:p w14:paraId="0405B1BE" w14:textId="77777777" w:rsidR="00422DDB" w:rsidRDefault="00422DDB" w:rsidP="009C29CF">
      <w:pPr>
        <w:spacing w:line="276" w:lineRule="auto"/>
        <w:rPr>
          <w:b/>
          <w:bCs/>
          <w:sz w:val="20"/>
          <w:szCs w:val="20"/>
        </w:rPr>
      </w:pPr>
    </w:p>
    <w:p w14:paraId="0DE6C1B8" w14:textId="5C398DC8" w:rsidR="009966F0" w:rsidRPr="00422DDB" w:rsidRDefault="009966F0" w:rsidP="009C29CF">
      <w:pPr>
        <w:spacing w:line="276" w:lineRule="auto"/>
        <w:rPr>
          <w:rFonts w:ascii="Goudy Old Style" w:hAnsi="Goudy Old Style"/>
          <w:b/>
          <w:bCs/>
          <w:sz w:val="20"/>
          <w:szCs w:val="20"/>
        </w:rPr>
      </w:pPr>
      <w:r w:rsidRPr="00422DDB">
        <w:rPr>
          <w:rFonts w:ascii="Goudy Old Style" w:hAnsi="Goudy Old Style"/>
          <w:b/>
          <w:bCs/>
          <w:sz w:val="20"/>
          <w:szCs w:val="20"/>
        </w:rPr>
        <w:t>A</w:t>
      </w:r>
      <w:r w:rsidR="00C3791A" w:rsidRPr="00422DDB">
        <w:rPr>
          <w:rFonts w:ascii="Goudy Old Style" w:hAnsi="Goudy Old Style"/>
          <w:b/>
          <w:bCs/>
          <w:sz w:val="20"/>
          <w:szCs w:val="20"/>
        </w:rPr>
        <w:t>bstract</w:t>
      </w:r>
    </w:p>
    <w:p w14:paraId="68A26CC2" w14:textId="6152F830" w:rsidR="009966F0" w:rsidRPr="00422DDB" w:rsidRDefault="009966F0" w:rsidP="007546BC">
      <w:pPr>
        <w:jc w:val="both"/>
        <w:rPr>
          <w:rFonts w:ascii="Goudy Old Style" w:hAnsi="Goudy Old Style"/>
          <w:sz w:val="20"/>
          <w:szCs w:val="20"/>
        </w:rPr>
      </w:pPr>
      <w:r w:rsidRPr="00422DDB">
        <w:rPr>
          <w:rFonts w:ascii="Goudy Old Style" w:hAnsi="Goudy Old Style"/>
          <w:sz w:val="20"/>
          <w:szCs w:val="20"/>
        </w:rPr>
        <w:t xml:space="preserve">Sepsis is increasing every year and can be life-threatening. </w:t>
      </w:r>
      <w:r w:rsidR="005615BE" w:rsidRPr="005615BE">
        <w:rPr>
          <w:rFonts w:ascii="Goudy Old Style" w:hAnsi="Goudy Old Style"/>
          <w:sz w:val="20"/>
          <w:szCs w:val="20"/>
        </w:rPr>
        <w:t>In the diagnosis of sepsis, it is challenging to identify the causative agent of infection.</w:t>
      </w:r>
      <w:r w:rsidRPr="005F5331">
        <w:rPr>
          <w:rFonts w:ascii="Goudy Old Style" w:hAnsi="Goudy Old Style"/>
          <w:sz w:val="20"/>
          <w:szCs w:val="20"/>
        </w:rPr>
        <w:t xml:space="preserve"> </w:t>
      </w:r>
      <w:r w:rsidR="005F5331" w:rsidRPr="005F5331">
        <w:rPr>
          <w:rFonts w:ascii="Goudy Old Style" w:hAnsi="Goudy Old Style"/>
          <w:sz w:val="20"/>
          <w:szCs w:val="20"/>
        </w:rPr>
        <w:t>This r</w:t>
      </w:r>
      <w:r w:rsidR="005F5331">
        <w:rPr>
          <w:rFonts w:ascii="Goudy Old Style" w:hAnsi="Goudy Old Style"/>
          <w:sz w:val="20"/>
          <w:szCs w:val="20"/>
        </w:rPr>
        <w:t xml:space="preserve">esearch </w:t>
      </w:r>
      <w:r w:rsidR="003749E2">
        <w:rPr>
          <w:rFonts w:ascii="Goudy Old Style" w:hAnsi="Goudy Old Style"/>
          <w:sz w:val="20"/>
          <w:szCs w:val="20"/>
          <w:lang w:val="id-ID"/>
        </w:rPr>
        <w:t>aims</w:t>
      </w:r>
      <w:r w:rsidRPr="00422DDB">
        <w:rPr>
          <w:rFonts w:ascii="Goudy Old Style" w:hAnsi="Goudy Old Style"/>
          <w:sz w:val="20"/>
          <w:szCs w:val="20"/>
        </w:rPr>
        <w:t xml:space="preserve"> to determine the proportion of positive blood </w:t>
      </w:r>
      <w:r w:rsidR="00CE07FD">
        <w:rPr>
          <w:rFonts w:ascii="Goudy Old Style" w:hAnsi="Goudy Old Style"/>
          <w:sz w:val="20"/>
          <w:szCs w:val="20"/>
        </w:rPr>
        <w:t>culture</w:t>
      </w:r>
      <w:r w:rsidRPr="00422DDB">
        <w:rPr>
          <w:rFonts w:ascii="Goudy Old Style" w:hAnsi="Goudy Old Style"/>
          <w:sz w:val="20"/>
          <w:szCs w:val="20"/>
        </w:rPr>
        <w:t xml:space="preserve"> in sepsis patients at Hasanuddin University Hospital, Makassar. Blood </w:t>
      </w:r>
      <w:r w:rsidR="00CE07FD">
        <w:rPr>
          <w:rFonts w:ascii="Goudy Old Style" w:hAnsi="Goudy Old Style"/>
          <w:sz w:val="20"/>
          <w:szCs w:val="20"/>
        </w:rPr>
        <w:t>culture</w:t>
      </w:r>
      <w:r w:rsidRPr="00422DDB">
        <w:rPr>
          <w:rFonts w:ascii="Goudy Old Style" w:hAnsi="Goudy Old Style"/>
          <w:sz w:val="20"/>
          <w:szCs w:val="20"/>
        </w:rPr>
        <w:t xml:space="preserve">s were collected from 98 adult patients with sepsis manifestations. </w:t>
      </w:r>
      <w:r w:rsidR="00316877" w:rsidRPr="00316877">
        <w:rPr>
          <w:rFonts w:ascii="Goudy Old Style" w:hAnsi="Goudy Old Style"/>
          <w:sz w:val="20"/>
          <w:szCs w:val="20"/>
        </w:rPr>
        <w:t>This research design is cross-sectional with a descriptive observation approach</w:t>
      </w:r>
      <w:r w:rsidRPr="00422DDB">
        <w:rPr>
          <w:rFonts w:ascii="Goudy Old Style" w:hAnsi="Goudy Old Style"/>
          <w:sz w:val="20"/>
          <w:szCs w:val="20"/>
        </w:rPr>
        <w:t>.</w:t>
      </w:r>
      <w:r w:rsidR="00C3791A" w:rsidRPr="00422DDB">
        <w:rPr>
          <w:rFonts w:ascii="Goudy Old Style" w:hAnsi="Goudy Old Style"/>
          <w:sz w:val="20"/>
          <w:szCs w:val="20"/>
        </w:rPr>
        <w:t xml:space="preserve"> </w:t>
      </w:r>
      <w:r w:rsidR="00316877" w:rsidRPr="00316877">
        <w:rPr>
          <w:rFonts w:ascii="Goudy Old Style" w:hAnsi="Goudy Old Style"/>
          <w:sz w:val="20"/>
          <w:szCs w:val="20"/>
        </w:rPr>
        <w:t>The data analysed in descriptive statistics were utilised to summarise patient demographics, treatments, and outcomes.</w:t>
      </w:r>
      <w:r w:rsidRPr="00422DDB">
        <w:rPr>
          <w:rFonts w:ascii="Goudy Old Style" w:hAnsi="Goudy Old Style"/>
          <w:sz w:val="20"/>
          <w:szCs w:val="20"/>
        </w:rPr>
        <w:t xml:space="preserve"> </w:t>
      </w:r>
      <w:r w:rsidR="00C9317B" w:rsidRPr="00422DDB">
        <w:rPr>
          <w:rFonts w:ascii="Goudy Old Style" w:hAnsi="Goudy Old Style"/>
          <w:sz w:val="20"/>
          <w:szCs w:val="20"/>
        </w:rPr>
        <w:t xml:space="preserve">Thirteen of 98 samples </w:t>
      </w:r>
      <w:r w:rsidRPr="00422DDB">
        <w:rPr>
          <w:rFonts w:ascii="Goudy Old Style" w:hAnsi="Goudy Old Style"/>
          <w:sz w:val="20"/>
          <w:szCs w:val="20"/>
        </w:rPr>
        <w:t>were positive for microbial pathogens (13.26%).</w:t>
      </w:r>
      <w:r w:rsidR="00FB60AB" w:rsidRPr="00422DDB">
        <w:rPr>
          <w:rFonts w:ascii="Goudy Old Style" w:hAnsi="Goudy Old Style"/>
          <w:sz w:val="20"/>
          <w:szCs w:val="20"/>
        </w:rPr>
        <w:t xml:space="preserve"> </w:t>
      </w:r>
      <w:r w:rsidR="00316877" w:rsidRPr="00316877">
        <w:rPr>
          <w:rFonts w:ascii="Goudy Old Style" w:hAnsi="Goudy Old Style"/>
          <w:sz w:val="20"/>
          <w:szCs w:val="20"/>
        </w:rPr>
        <w:t>The elderly group had the highest percentage (76.5%); eighty-seven patients (88.77%) were treated with antibiotic therapy prior to blood culture collection.</w:t>
      </w:r>
      <w:r w:rsidR="00AB5238" w:rsidRPr="00422DDB">
        <w:rPr>
          <w:rFonts w:ascii="Goudy Old Style" w:hAnsi="Goudy Old Style"/>
          <w:sz w:val="20"/>
          <w:szCs w:val="20"/>
        </w:rPr>
        <w:t xml:space="preserve"> Cephalosporins are the most administered antibiotics (72.4%)</w:t>
      </w:r>
      <w:r w:rsidRPr="00422DDB">
        <w:rPr>
          <w:rFonts w:ascii="Goudy Old Style" w:hAnsi="Goudy Old Style"/>
          <w:sz w:val="20"/>
          <w:szCs w:val="20"/>
        </w:rPr>
        <w:t xml:space="preserve">. </w:t>
      </w:r>
      <w:r w:rsidR="00FB60AB" w:rsidRPr="00422DDB">
        <w:rPr>
          <w:rFonts w:ascii="Goudy Old Style" w:hAnsi="Goudy Old Style"/>
          <w:sz w:val="20"/>
          <w:szCs w:val="20"/>
        </w:rPr>
        <w:t xml:space="preserve">Administration of empirical therapy prior to blood </w:t>
      </w:r>
      <w:r w:rsidR="00CE07FD">
        <w:rPr>
          <w:rFonts w:ascii="Goudy Old Style" w:hAnsi="Goudy Old Style"/>
          <w:sz w:val="20"/>
          <w:szCs w:val="20"/>
        </w:rPr>
        <w:t>culture</w:t>
      </w:r>
      <w:r w:rsidR="00FB60AB" w:rsidRPr="00422DDB">
        <w:rPr>
          <w:rFonts w:ascii="Goudy Old Style" w:hAnsi="Goudy Old Style"/>
          <w:sz w:val="20"/>
          <w:szCs w:val="20"/>
        </w:rPr>
        <w:t xml:space="preserve"> collection may decrease the sensitivity of </w:t>
      </w:r>
      <w:r w:rsidR="00CE07FD">
        <w:rPr>
          <w:rFonts w:ascii="Goudy Old Style" w:hAnsi="Goudy Old Style"/>
          <w:sz w:val="20"/>
          <w:szCs w:val="20"/>
        </w:rPr>
        <w:t>culture</w:t>
      </w:r>
      <w:r w:rsidR="00FB60AB" w:rsidRPr="00422DDB">
        <w:rPr>
          <w:rFonts w:ascii="Goudy Old Style" w:hAnsi="Goudy Old Style"/>
          <w:sz w:val="20"/>
          <w:szCs w:val="20"/>
        </w:rPr>
        <w:t xml:space="preserve"> results. </w:t>
      </w:r>
      <w:r w:rsidR="00316877" w:rsidRPr="00316877">
        <w:rPr>
          <w:rFonts w:ascii="Goudy Old Style" w:hAnsi="Goudy Old Style"/>
          <w:sz w:val="20"/>
          <w:szCs w:val="20"/>
          <w:lang w:val="id-ID"/>
        </w:rPr>
        <w:t xml:space="preserve">The culture of the infectious focus should be done to assist in the consideration of antimicrobial </w:t>
      </w:r>
      <w:r w:rsidR="00316877">
        <w:rPr>
          <w:rFonts w:ascii="Goudy Old Style" w:hAnsi="Goudy Old Style"/>
          <w:sz w:val="20"/>
          <w:szCs w:val="20"/>
          <w:lang w:val="id-ID"/>
        </w:rPr>
        <w:t>t</w:t>
      </w:r>
      <w:r w:rsidR="00316877" w:rsidRPr="00316877">
        <w:rPr>
          <w:rFonts w:ascii="Goudy Old Style" w:hAnsi="Goudy Old Style"/>
          <w:sz w:val="20"/>
          <w:szCs w:val="20"/>
          <w:lang w:val="id-ID"/>
        </w:rPr>
        <w:t>reatment.</w:t>
      </w:r>
    </w:p>
    <w:p w14:paraId="099998BA" w14:textId="77777777" w:rsidR="00422DDB" w:rsidRPr="00422DDB" w:rsidRDefault="00422DDB" w:rsidP="009C29CF">
      <w:pPr>
        <w:outlineLvl w:val="0"/>
        <w:rPr>
          <w:rFonts w:ascii="Goudy Old Style" w:hAnsi="Goudy Old Style"/>
          <w:b/>
          <w:bCs/>
          <w:sz w:val="10"/>
          <w:szCs w:val="10"/>
        </w:rPr>
      </w:pPr>
    </w:p>
    <w:p w14:paraId="3A33422B" w14:textId="1EB1274B" w:rsidR="009966F0" w:rsidRPr="00422DDB" w:rsidRDefault="009966F0" w:rsidP="009C29CF">
      <w:pPr>
        <w:outlineLvl w:val="0"/>
        <w:rPr>
          <w:rFonts w:ascii="Goudy Old Style" w:hAnsi="Goudy Old Style"/>
          <w:sz w:val="20"/>
          <w:szCs w:val="20"/>
        </w:rPr>
      </w:pPr>
      <w:r w:rsidRPr="00422DDB">
        <w:rPr>
          <w:rFonts w:ascii="Goudy Old Style" w:hAnsi="Goudy Old Style"/>
          <w:b/>
          <w:bCs/>
          <w:sz w:val="20"/>
          <w:szCs w:val="20"/>
        </w:rPr>
        <w:t>Keyword</w:t>
      </w:r>
      <w:r w:rsidRPr="00422DDB">
        <w:rPr>
          <w:rFonts w:ascii="Goudy Old Style" w:hAnsi="Goudy Old Style"/>
          <w:sz w:val="20"/>
          <w:szCs w:val="20"/>
        </w:rPr>
        <w:t xml:space="preserve">: Blood </w:t>
      </w:r>
      <w:r w:rsidR="00CE07FD">
        <w:rPr>
          <w:rFonts w:ascii="Goudy Old Style" w:hAnsi="Goudy Old Style"/>
          <w:sz w:val="20"/>
          <w:szCs w:val="20"/>
        </w:rPr>
        <w:t>Culture</w:t>
      </w:r>
      <w:r w:rsidRPr="00422DDB">
        <w:rPr>
          <w:rFonts w:ascii="Goudy Old Style" w:hAnsi="Goudy Old Style"/>
          <w:sz w:val="20"/>
          <w:szCs w:val="20"/>
        </w:rPr>
        <w:t xml:space="preserve">, </w:t>
      </w:r>
      <w:r w:rsidR="00C3791A" w:rsidRPr="00422DDB">
        <w:rPr>
          <w:rFonts w:ascii="Goudy Old Style" w:hAnsi="Goudy Old Style"/>
          <w:sz w:val="20"/>
          <w:szCs w:val="20"/>
        </w:rPr>
        <w:t>S</w:t>
      </w:r>
      <w:r w:rsidRPr="00422DDB">
        <w:rPr>
          <w:rFonts w:ascii="Goudy Old Style" w:hAnsi="Goudy Old Style"/>
          <w:sz w:val="20"/>
          <w:szCs w:val="20"/>
        </w:rPr>
        <w:t xml:space="preserve">epsis, </w:t>
      </w:r>
      <w:r w:rsidR="00C3791A" w:rsidRPr="00422DDB">
        <w:rPr>
          <w:rFonts w:ascii="Goudy Old Style" w:hAnsi="Goudy Old Style"/>
          <w:sz w:val="20"/>
          <w:szCs w:val="20"/>
        </w:rPr>
        <w:t>I</w:t>
      </w:r>
      <w:r w:rsidRPr="00422DDB">
        <w:rPr>
          <w:rFonts w:ascii="Goudy Old Style" w:hAnsi="Goudy Old Style"/>
          <w:sz w:val="20"/>
          <w:szCs w:val="20"/>
        </w:rPr>
        <w:t>nfection</w:t>
      </w:r>
    </w:p>
    <w:p w14:paraId="5B7E307B" w14:textId="77777777" w:rsidR="009966F0" w:rsidRPr="00422DDB" w:rsidRDefault="009966F0" w:rsidP="009C29CF">
      <w:pPr>
        <w:outlineLvl w:val="0"/>
        <w:rPr>
          <w:rFonts w:ascii="Goudy Old Style" w:hAnsi="Goudy Old Style"/>
          <w:sz w:val="10"/>
          <w:szCs w:val="10"/>
        </w:rPr>
      </w:pPr>
    </w:p>
    <w:p w14:paraId="1316B5C1" w14:textId="2BCA7F7E" w:rsidR="009966F0" w:rsidRPr="00422DDB" w:rsidRDefault="009966F0" w:rsidP="009C29CF">
      <w:pPr>
        <w:outlineLvl w:val="0"/>
        <w:rPr>
          <w:rFonts w:ascii="Goudy Old Style" w:hAnsi="Goudy Old Style"/>
          <w:b/>
          <w:bCs/>
          <w:sz w:val="20"/>
          <w:szCs w:val="20"/>
        </w:rPr>
      </w:pPr>
      <w:r w:rsidRPr="00422DDB">
        <w:rPr>
          <w:rFonts w:ascii="Goudy Old Style" w:hAnsi="Goudy Old Style"/>
          <w:b/>
          <w:bCs/>
          <w:sz w:val="20"/>
          <w:szCs w:val="20"/>
        </w:rPr>
        <w:t>A</w:t>
      </w:r>
      <w:r w:rsidR="00C3791A" w:rsidRPr="00422DDB">
        <w:rPr>
          <w:rFonts w:ascii="Goudy Old Style" w:hAnsi="Goudy Old Style"/>
          <w:b/>
          <w:bCs/>
          <w:sz w:val="20"/>
          <w:szCs w:val="20"/>
        </w:rPr>
        <w:t>bstrak</w:t>
      </w:r>
    </w:p>
    <w:p w14:paraId="69476322" w14:textId="1D24ADA5" w:rsidR="009966F0" w:rsidRPr="00422DDB" w:rsidRDefault="009966F0" w:rsidP="009C29CF">
      <w:pPr>
        <w:jc w:val="both"/>
        <w:outlineLvl w:val="0"/>
        <w:rPr>
          <w:rFonts w:ascii="Goudy Old Style" w:hAnsi="Goudy Old Style"/>
          <w:sz w:val="20"/>
          <w:szCs w:val="20"/>
        </w:rPr>
      </w:pPr>
      <w:r w:rsidRPr="00422DDB">
        <w:rPr>
          <w:rFonts w:ascii="Goudy Old Style" w:hAnsi="Goudy Old Style"/>
          <w:sz w:val="20"/>
          <w:szCs w:val="20"/>
        </w:rPr>
        <w:t xml:space="preserve">Sepsis meningkat setiap tahun dan dapat mengancam jiwa. Diagnosis sepsis merupakan tantangan untuk mengidentifikasi agen penyebab infeksi. </w:t>
      </w:r>
      <w:r w:rsidR="005F5331" w:rsidRPr="005F5331">
        <w:rPr>
          <w:rFonts w:ascii="Goudy Old Style" w:hAnsi="Goudy Old Style"/>
          <w:sz w:val="20"/>
          <w:szCs w:val="20"/>
        </w:rPr>
        <w:t>Penelitian ini bertujuan</w:t>
      </w:r>
      <w:r w:rsidRPr="00422DDB">
        <w:rPr>
          <w:rFonts w:ascii="Goudy Old Style" w:hAnsi="Goudy Old Style"/>
          <w:sz w:val="20"/>
          <w:szCs w:val="20"/>
        </w:rPr>
        <w:t xml:space="preserve"> untuk mengetahui proporsi kultur darah positif pada pasien sepsis di Rumah Sakit Universitas Hasanuddin, Makassar. Kultur darah dikumpulkan dari 98 pasien dewasa dengan manifestasi sepsis. Studi </w:t>
      </w:r>
      <w:r w:rsidRPr="00422DDB">
        <w:rPr>
          <w:rFonts w:ascii="Goudy Old Style" w:hAnsi="Goudy Old Style"/>
          <w:i/>
          <w:iCs/>
          <w:sz w:val="20"/>
          <w:szCs w:val="20"/>
        </w:rPr>
        <w:t>cross-sectional</w:t>
      </w:r>
      <w:r w:rsidRPr="00422DDB">
        <w:rPr>
          <w:rFonts w:ascii="Goudy Old Style" w:hAnsi="Goudy Old Style"/>
          <w:sz w:val="20"/>
          <w:szCs w:val="20"/>
        </w:rPr>
        <w:t xml:space="preserve"> dengan metode observasional deskriptif.</w:t>
      </w:r>
      <w:r w:rsidR="00C3791A" w:rsidRPr="00422DDB">
        <w:rPr>
          <w:rFonts w:ascii="Goudy Old Style" w:hAnsi="Goudy Old Style"/>
          <w:sz w:val="20"/>
          <w:szCs w:val="20"/>
        </w:rPr>
        <w:t xml:space="preserve"> </w:t>
      </w:r>
      <w:r w:rsidRPr="00422DDB">
        <w:rPr>
          <w:rFonts w:ascii="Goudy Old Style" w:hAnsi="Goudy Old Style"/>
          <w:sz w:val="20"/>
          <w:szCs w:val="20"/>
        </w:rPr>
        <w:t>Data yang telah diolah dalam statistik deskriptif digunakan untuk merangkum demografi pasien, perawatan, dan hasil. Analisis dilakukan dengan menggunakan IBM® SPSS Statistics 22.</w:t>
      </w:r>
      <w:r w:rsidR="00FB686E" w:rsidRPr="00422DDB">
        <w:rPr>
          <w:rFonts w:ascii="Goudy Old Style" w:hAnsi="Goudy Old Style"/>
          <w:b/>
          <w:bCs/>
          <w:sz w:val="20"/>
          <w:szCs w:val="20"/>
        </w:rPr>
        <w:t xml:space="preserve"> </w:t>
      </w:r>
      <w:r w:rsidR="00FB686E" w:rsidRPr="00422DDB">
        <w:rPr>
          <w:rFonts w:ascii="Goudy Old Style" w:hAnsi="Goudy Old Style"/>
          <w:sz w:val="20"/>
          <w:szCs w:val="20"/>
        </w:rPr>
        <w:t>Tiga belas dari Sembilan puluh delapan sampe</w:t>
      </w:r>
      <w:r w:rsidR="001C7B1D" w:rsidRPr="00422DDB">
        <w:rPr>
          <w:rFonts w:ascii="Goudy Old Style" w:hAnsi="Goudy Old Style"/>
          <w:sz w:val="20"/>
          <w:szCs w:val="20"/>
        </w:rPr>
        <w:t>l positif ditemukan mikroba pat</w:t>
      </w:r>
      <w:r w:rsidR="00FB686E" w:rsidRPr="00422DDB">
        <w:rPr>
          <w:rFonts w:ascii="Goudy Old Style" w:hAnsi="Goudy Old Style"/>
          <w:sz w:val="20"/>
          <w:szCs w:val="20"/>
        </w:rPr>
        <w:t>ogen (13.26%). Kelompok lanjut usia memiliki persentase tertinggi (76.6%), delapan puluh tujuh pasien (88.77%) sudah diobati dengan antibioti</w:t>
      </w:r>
      <w:r w:rsidR="001C7B1D" w:rsidRPr="00422DDB">
        <w:rPr>
          <w:rFonts w:ascii="Goudy Old Style" w:hAnsi="Goudy Old Style"/>
          <w:sz w:val="20"/>
          <w:szCs w:val="20"/>
          <w:lang w:val="id-ID"/>
        </w:rPr>
        <w:t>k</w:t>
      </w:r>
      <w:r w:rsidR="00FB686E" w:rsidRPr="00422DDB">
        <w:rPr>
          <w:rFonts w:ascii="Goudy Old Style" w:hAnsi="Goudy Old Style"/>
          <w:sz w:val="20"/>
          <w:szCs w:val="20"/>
        </w:rPr>
        <w:t xml:space="preserve"> sebelum pengambilan kultur darah. Golongan cephalosporin merupakan antibiotik yang paling banyak diberikan sebanyak 72,4%</w:t>
      </w:r>
      <w:r w:rsidR="00C3791A" w:rsidRPr="00422DDB">
        <w:rPr>
          <w:rFonts w:ascii="Goudy Old Style" w:hAnsi="Goudy Old Style"/>
          <w:sz w:val="20"/>
          <w:szCs w:val="20"/>
        </w:rPr>
        <w:t>.</w:t>
      </w:r>
      <w:r w:rsidR="00AB5238" w:rsidRPr="00422DDB">
        <w:rPr>
          <w:rFonts w:ascii="Goudy Old Style" w:hAnsi="Goudy Old Style"/>
          <w:sz w:val="20"/>
          <w:szCs w:val="20"/>
        </w:rPr>
        <w:t xml:space="preserve"> Pemberian terapi empiris sebelum pengambilan kultur darah dapat menurunkan sensitivitas hasil kultur. </w:t>
      </w:r>
      <w:r w:rsidR="00FB686E" w:rsidRPr="00422DDB">
        <w:rPr>
          <w:rFonts w:ascii="Goudy Old Style" w:hAnsi="Goudy Old Style"/>
          <w:sz w:val="20"/>
          <w:szCs w:val="20"/>
        </w:rPr>
        <w:t>K</w:t>
      </w:r>
      <w:r w:rsidR="00AB5238" w:rsidRPr="00422DDB">
        <w:rPr>
          <w:rFonts w:ascii="Goudy Old Style" w:hAnsi="Goudy Old Style"/>
          <w:sz w:val="20"/>
          <w:szCs w:val="20"/>
        </w:rPr>
        <w:t xml:space="preserve">ultur </w:t>
      </w:r>
      <w:r w:rsidR="00936F3A" w:rsidRPr="00422DDB">
        <w:rPr>
          <w:rFonts w:ascii="Goudy Old Style" w:hAnsi="Goudy Old Style"/>
          <w:sz w:val="20"/>
          <w:szCs w:val="20"/>
        </w:rPr>
        <w:t xml:space="preserve">dari </w:t>
      </w:r>
      <w:r w:rsidR="00AB5238" w:rsidRPr="00422DDB">
        <w:rPr>
          <w:rFonts w:ascii="Goudy Old Style" w:hAnsi="Goudy Old Style"/>
          <w:sz w:val="20"/>
          <w:szCs w:val="20"/>
        </w:rPr>
        <w:t xml:space="preserve">fokus infeksi </w:t>
      </w:r>
      <w:r w:rsidR="00316877">
        <w:rPr>
          <w:rFonts w:ascii="Goudy Old Style" w:hAnsi="Goudy Old Style"/>
          <w:sz w:val="20"/>
          <w:szCs w:val="20"/>
          <w:lang w:val="id-ID"/>
        </w:rPr>
        <w:t xml:space="preserve">perlu dilakukan </w:t>
      </w:r>
      <w:r w:rsidR="00AB5238" w:rsidRPr="00422DDB">
        <w:rPr>
          <w:rFonts w:ascii="Goudy Old Style" w:hAnsi="Goudy Old Style"/>
          <w:sz w:val="20"/>
          <w:szCs w:val="20"/>
        </w:rPr>
        <w:t>untuk membantu dalam pertimbangan pengobatan antimikroba.</w:t>
      </w:r>
    </w:p>
    <w:p w14:paraId="54408A9C" w14:textId="77777777" w:rsidR="00422DDB" w:rsidRPr="00422DDB" w:rsidRDefault="00422DDB" w:rsidP="009C29CF">
      <w:pPr>
        <w:outlineLvl w:val="0"/>
        <w:rPr>
          <w:rFonts w:ascii="Goudy Old Style" w:hAnsi="Goudy Old Style"/>
          <w:b/>
          <w:bCs/>
          <w:sz w:val="10"/>
          <w:szCs w:val="10"/>
        </w:rPr>
      </w:pPr>
    </w:p>
    <w:p w14:paraId="72B30E21" w14:textId="41B56738" w:rsidR="009966F0" w:rsidRPr="00422DDB" w:rsidRDefault="009966F0" w:rsidP="009C29CF">
      <w:pPr>
        <w:outlineLvl w:val="0"/>
        <w:rPr>
          <w:rFonts w:ascii="Goudy Old Style" w:hAnsi="Goudy Old Style"/>
          <w:sz w:val="20"/>
          <w:szCs w:val="20"/>
        </w:rPr>
      </w:pPr>
      <w:r w:rsidRPr="00422DDB">
        <w:rPr>
          <w:rFonts w:ascii="Goudy Old Style" w:hAnsi="Goudy Old Style"/>
          <w:b/>
          <w:bCs/>
          <w:sz w:val="20"/>
          <w:szCs w:val="20"/>
        </w:rPr>
        <w:t>Kata</w:t>
      </w:r>
      <w:r w:rsidR="00C3791A" w:rsidRPr="00422DDB">
        <w:rPr>
          <w:rFonts w:ascii="Goudy Old Style" w:hAnsi="Goudy Old Style"/>
          <w:b/>
          <w:bCs/>
          <w:sz w:val="20"/>
          <w:szCs w:val="20"/>
        </w:rPr>
        <w:t xml:space="preserve"> </w:t>
      </w:r>
      <w:r w:rsidR="00677631">
        <w:rPr>
          <w:rFonts w:ascii="Goudy Old Style" w:hAnsi="Goudy Old Style"/>
          <w:b/>
          <w:bCs/>
          <w:sz w:val="20"/>
          <w:szCs w:val="20"/>
        </w:rPr>
        <w:t>k</w:t>
      </w:r>
      <w:r w:rsidR="00A14846" w:rsidRPr="00422DDB">
        <w:rPr>
          <w:rFonts w:ascii="Goudy Old Style" w:hAnsi="Goudy Old Style"/>
          <w:b/>
          <w:bCs/>
          <w:sz w:val="20"/>
          <w:szCs w:val="20"/>
        </w:rPr>
        <w:t>unci</w:t>
      </w:r>
      <w:r w:rsidRPr="00422DDB">
        <w:rPr>
          <w:rFonts w:ascii="Goudy Old Style" w:hAnsi="Goudy Old Style"/>
          <w:sz w:val="20"/>
          <w:szCs w:val="20"/>
        </w:rPr>
        <w:t xml:space="preserve">: Kultur </w:t>
      </w:r>
      <w:r w:rsidR="00C3791A" w:rsidRPr="00422DDB">
        <w:rPr>
          <w:rFonts w:ascii="Goudy Old Style" w:hAnsi="Goudy Old Style"/>
          <w:sz w:val="20"/>
          <w:szCs w:val="20"/>
        </w:rPr>
        <w:t>D</w:t>
      </w:r>
      <w:r w:rsidRPr="00422DDB">
        <w:rPr>
          <w:rFonts w:ascii="Goudy Old Style" w:hAnsi="Goudy Old Style"/>
          <w:sz w:val="20"/>
          <w:szCs w:val="20"/>
        </w:rPr>
        <w:t xml:space="preserve">arah, </w:t>
      </w:r>
      <w:r w:rsidR="00C3791A" w:rsidRPr="00422DDB">
        <w:rPr>
          <w:rFonts w:ascii="Goudy Old Style" w:hAnsi="Goudy Old Style"/>
          <w:sz w:val="20"/>
          <w:szCs w:val="20"/>
        </w:rPr>
        <w:t>S</w:t>
      </w:r>
      <w:r w:rsidRPr="00422DDB">
        <w:rPr>
          <w:rFonts w:ascii="Goudy Old Style" w:hAnsi="Goudy Old Style"/>
          <w:sz w:val="20"/>
          <w:szCs w:val="20"/>
        </w:rPr>
        <w:t xml:space="preserve">epsis, </w:t>
      </w:r>
      <w:r w:rsidR="00C3791A" w:rsidRPr="00422DDB">
        <w:rPr>
          <w:rFonts w:ascii="Goudy Old Style" w:hAnsi="Goudy Old Style"/>
          <w:sz w:val="20"/>
          <w:szCs w:val="20"/>
        </w:rPr>
        <w:t>I</w:t>
      </w:r>
      <w:r w:rsidRPr="00422DDB">
        <w:rPr>
          <w:rFonts w:ascii="Goudy Old Style" w:hAnsi="Goudy Old Style"/>
          <w:sz w:val="20"/>
          <w:szCs w:val="20"/>
        </w:rPr>
        <w:t>nfeksi</w:t>
      </w:r>
    </w:p>
    <w:p w14:paraId="5D4E84F7" w14:textId="77777777" w:rsidR="009C29CF" w:rsidRDefault="009C29CF" w:rsidP="00F25B77">
      <w:pPr>
        <w:spacing w:before="60" w:line="480" w:lineRule="auto"/>
        <w:outlineLvl w:val="0"/>
        <w:sectPr w:rsidR="009C29CF" w:rsidSect="007E4A41">
          <w:type w:val="continuous"/>
          <w:pgSz w:w="11906" w:h="16838" w:code="9"/>
          <w:pgMar w:top="1440" w:right="1440" w:bottom="1440" w:left="1440" w:header="720" w:footer="720" w:gutter="0"/>
          <w:cols w:num="2" w:space="284" w:equalWidth="0">
            <w:col w:w="1985" w:space="284"/>
            <w:col w:w="6757"/>
          </w:cols>
          <w:docGrid w:linePitch="360"/>
        </w:sectPr>
      </w:pPr>
    </w:p>
    <w:p w14:paraId="0A6ADE2D" w14:textId="77777777" w:rsidR="00343521" w:rsidRDefault="00343521" w:rsidP="00F25B77">
      <w:pPr>
        <w:spacing w:before="60" w:line="480" w:lineRule="auto"/>
        <w:outlineLvl w:val="0"/>
      </w:pPr>
    </w:p>
    <w:p w14:paraId="278922BA" w14:textId="7116E44E" w:rsidR="00F25B77" w:rsidRPr="00422DDB" w:rsidRDefault="00F25B77" w:rsidP="0004060E">
      <w:pPr>
        <w:spacing w:before="120" w:after="120" w:line="276" w:lineRule="auto"/>
        <w:jc w:val="both"/>
        <w:outlineLvl w:val="0"/>
        <w:rPr>
          <w:rFonts w:ascii="Goudy Old Style" w:hAnsi="Goudy Old Style"/>
          <w:b/>
          <w:bCs/>
        </w:rPr>
      </w:pPr>
      <w:r w:rsidRPr="009966F0">
        <w:br w:type="page"/>
      </w:r>
      <w:r w:rsidRPr="00422DDB">
        <w:rPr>
          <w:rFonts w:ascii="Goudy Old Style" w:hAnsi="Goudy Old Style"/>
          <w:b/>
          <w:bCs/>
        </w:rPr>
        <w:lastRenderedPageBreak/>
        <w:t>Introduction</w:t>
      </w:r>
    </w:p>
    <w:p w14:paraId="53DA2255" w14:textId="55AE45B4" w:rsidR="00B528C6" w:rsidRPr="00422DDB" w:rsidRDefault="009026BE" w:rsidP="0004060E">
      <w:pPr>
        <w:spacing w:line="276" w:lineRule="auto"/>
        <w:ind w:firstLine="567"/>
        <w:jc w:val="both"/>
        <w:rPr>
          <w:rFonts w:ascii="Goudy Old Style" w:hAnsi="Goudy Old Style"/>
        </w:rPr>
      </w:pPr>
      <w:bookmarkStart w:id="1" w:name="_Hlk141905691"/>
      <w:r w:rsidRPr="00422DDB">
        <w:rPr>
          <w:rFonts w:ascii="Goudy Old Style" w:hAnsi="Goudy Old Style"/>
        </w:rPr>
        <w:t>Sepsis is increasing every year and can be life-threatening</w:t>
      </w:r>
      <w:r w:rsidR="00C24186" w:rsidRPr="00422DDB">
        <w:rPr>
          <w:rFonts w:ascii="Goudy Old Style" w:hAnsi="Goudy Old Style"/>
        </w:rPr>
        <w:t>. A life-threatening condition that arises when the body's response to infection causes injury to tissues and organs in the host</w:t>
      </w:r>
      <w:r w:rsidR="00B46D7A" w:rsidRPr="00422DDB">
        <w:rPr>
          <w:rFonts w:ascii="Goudy Old Style" w:hAnsi="Goudy Old Style"/>
        </w:rPr>
        <w:t>.</w:t>
      </w:r>
      <w:r w:rsidR="00CA7D51" w:rsidRPr="00422DDB">
        <w:rPr>
          <w:rFonts w:ascii="Goudy Old Style" w:hAnsi="Goudy Old Style"/>
          <w:vertAlign w:val="superscript"/>
        </w:rPr>
        <w:fldChar w:fldCharType="begin" w:fldLock="1"/>
      </w:r>
      <w:r w:rsidR="00B528C6" w:rsidRPr="00422DDB">
        <w:rPr>
          <w:rFonts w:ascii="Goudy Old Style" w:hAnsi="Goudy Old Style"/>
          <w:vertAlign w:val="superscript"/>
        </w:rPr>
        <w:instrText>ADDIN CSL_CITATION {"citationItems":[{"id":"ITEM-1","itemData":{"DOI":"10.7326/M19-1696","ISSN":"15393704","PMID":"31525774","abstract":"Background: Administering antimicrobial agents before obtaining blood cultures could potentially decrease time to treatment and improve outcomes, but it is unclear how this strategy affects diagnostic sensitivity. Objective: To determine the sensitivity of blood cultures obtained shortly after initiation of antimicrobial therapy in patients with severe manifestations of sepsis. Design: Patient-level, single-group, diagnostic study. (ClinicalTrials.gov: NCT01867905). Setting: 7 emergency departments in North America. Participants: Adults with severe manifestations of sepsis, including systolic blood pressure less than 90 mm Hg or a serum lactate level of 4 mmol/L or more. Intervention: Blood cultures were obtained before and within 120 minutes after initiation of antimicrobial treatment. Measurements: Sensitivity of blood cultures obtained after initiation of antimicrobial therapy. Results: Of 3164 participants screened, 325 were included in the study (mean age, 65.6 years; 62.8% men) and had repeated blood cultures drawn after initiation of antimicrobial therapy (median time, 70 minutes [interquartile range, 50 to 110 minutes]). Preantimicrobial blood cultures were positive for 1 or more microbial pathogens in 102 of 325 (31.4%) patients. Postantimicrobial blood cultures were positive for 1 or more microbial pathogens in 63 of 325 (19.4%) patients. The absolute difference in the proportion of positive blood cultures between pre- and postantimicrobial testing was 12.0% (95% CI, 5.4% to 18.6%; P &lt; 0.001). Sensitivity of postantimicrobial culture was 52.9% (CI, 42.8% to 62.9%). When the results of other microbiological cultures were included, microbial pathogens were found in 69 of 102 (67.6% [CI, 57.7% to 76.6%]) patients. Limitation: Only a proportion of screened patients were recruited. Conclusion: Among patients with severe manifestations of sepsis, initiation of empirical antimicrobial therapy significantly reduces the sensitivity of blood cultures drawn shortly after treatment initiation. Primary Funding Source: Vancouver Coastal Health, St. Paul's Hospital Foundation Emergency Department Support Fund, the Fonds de recherche Santé-Québec, and the Maricopa Medical Foundation.","author":[{"dropping-particle":"","family":"Cheng","given":"Matthew P.","non-dropping-particle":"","parse-names":false,"suffix":""},{"dropping-particle":"","family":"Stenstrom","given":"Robert","non-dropping-particle":"","parse-names":false,"suffix":""},{"dropping-particle":"","family":"Paquette","given":"Katryn","non-dropping-particle":"","parse-names":false,"suffix":""},{"dropping-particle":"","family":"Stabler","given":"Sarah N.","non-dropping-particle":"","parse-names":false,"suffix":""},{"dropping-particle":"","family":"Akhter","given":"Murtaza","non-dropping-particle":"","parse-names":false,"suffix":""},{"dropping-particle":"","family":"Davidson","given":"Adam C.","non-dropping-particle":"","parse-names":false,"suffix":""},{"dropping-particle":"","family":"Gavric","given":"Marko","non-dropping-particle":"","parse-names":false,"suffix":""},{"dropping-particle":"","family":"Lawandi","given":"Alexander","non-dropping-particle":"","parse-names":false,"suffix":""},{"dropping-particle":"","family":"Jinah","given":"Rehman","non-dropping-particle":"","parse-names":false,"suffix":""},{"dropping-particle":"","family":"Saeed","given":"Zahid","non-dropping-particle":"","parse-names":false,"suffix":""},{"dropping-particle":"","family":"Demir","given":"Koray","non-dropping-particle":"","parse-names":false,"suffix":""},{"dropping-particle":"","family":"Huang","given":"Kelly","non-dropping-particle":"","parse-names":false,"suffix":""},{"dropping-particle":"","family":"Mahpour","given":"Amirali","non-dropping-particle":"","parse-names":false,"suffix":""},{"dropping-particle":"","family":"Shamatutu","given":"Chris","non-dropping-particle":"","parse-names":false,"suffix":""},{"dropping-particle":"","family":"Caya","given":"Chelsea","non-dropping-particle":"","parse-names":false,"suffix":""},{"dropping-particle":"","family":"Troquet","given":"Jean Marc","non-dropping-particle":"","parse-names":false,"suffix":""},{"dropping-particle":"","family":"Clark","given":"Greg","non-dropping-particle":"","parse-names":false,"suffix":""},{"dropping-particle":"","family":"Yansouni","given":"Cedric P.","non-dropping-particle":"","parse-names":false,"suffix":""},{"dropping-particle":"","family":"Sweet","given":"David","non-dropping-particle":"","parse-names":false,"suffix":""}],"container-title":"Annals of internal medicine","id":"ITEM-1","issue":"8","issued":{"date-parts":[["2019"]]},"page":"547-554","title":"Blood Culture Results Before and After Antimicrobial Administration in Patients With Severe Manifestations of Sepsis: A Diagnostic Study","type":"article-journal","volume":"171"},"uris":["http://www.mendeley.com/documents/?uuid=ae926a6b-4faf-4d46-851a-1a01645589a7"]}],"mendeley":{"formattedCitation":"(1)","plainTextFormattedCitation":"(1)","previouslyFormattedCitation":"(1)"},"properties":{"noteIndex":0},"schema":"https://github.com/citation-style-language/schema/raw/master/csl-citation.json"}</w:instrText>
      </w:r>
      <w:r w:rsidR="00CA7D51" w:rsidRPr="00422DDB">
        <w:rPr>
          <w:rFonts w:ascii="Goudy Old Style" w:hAnsi="Goudy Old Style"/>
          <w:vertAlign w:val="superscript"/>
        </w:rPr>
        <w:fldChar w:fldCharType="separate"/>
      </w:r>
      <w:r w:rsidR="00CA7D51" w:rsidRPr="00422DDB">
        <w:rPr>
          <w:rFonts w:ascii="Goudy Old Style" w:hAnsi="Goudy Old Style"/>
          <w:noProof/>
          <w:vertAlign w:val="superscript"/>
        </w:rPr>
        <w:t>1</w:t>
      </w:r>
      <w:r w:rsidR="00CA7D51" w:rsidRPr="00422DDB">
        <w:rPr>
          <w:rFonts w:ascii="Goudy Old Style" w:hAnsi="Goudy Old Style"/>
          <w:vertAlign w:val="superscript"/>
        </w:rPr>
        <w:fldChar w:fldCharType="end"/>
      </w:r>
      <w:r w:rsidRPr="00422DDB">
        <w:rPr>
          <w:rFonts w:ascii="Goudy Old Style" w:hAnsi="Goudy Old Style"/>
        </w:rPr>
        <w:t xml:space="preserve"> </w:t>
      </w:r>
      <w:r w:rsidR="00316877" w:rsidRPr="00316877">
        <w:rPr>
          <w:rFonts w:ascii="Goudy Old Style" w:hAnsi="Goudy Old Style"/>
        </w:rPr>
        <w:t>In the diagnosis of sepsis, it is challenging to identify the causative agent of infection.</w:t>
      </w:r>
      <w:r w:rsidRPr="00422DDB">
        <w:rPr>
          <w:rFonts w:ascii="Goudy Old Style" w:hAnsi="Goudy Old Style"/>
        </w:rPr>
        <w:t xml:space="preserve"> </w:t>
      </w:r>
      <w:r w:rsidR="00710CF1" w:rsidRPr="00422DDB">
        <w:rPr>
          <w:rFonts w:ascii="Goudy Old Style" w:hAnsi="Goudy Old Style"/>
        </w:rPr>
        <w:t>Sepsis can be caused by bacterial, viral, or fungal infections</w:t>
      </w:r>
      <w:r w:rsidRPr="00422DDB">
        <w:rPr>
          <w:rFonts w:ascii="Goudy Old Style" w:hAnsi="Goudy Old Style"/>
        </w:rPr>
        <w:t xml:space="preserve">. </w:t>
      </w:r>
      <w:r w:rsidR="00710CF1" w:rsidRPr="00422DDB">
        <w:rPr>
          <w:rFonts w:ascii="Goudy Old Style" w:hAnsi="Goudy Old Style"/>
        </w:rPr>
        <w:t>It requires prompt and appropriate monitoring and administration of antimicrobials</w:t>
      </w:r>
      <w:r w:rsidR="00B46D7A" w:rsidRPr="00422DDB">
        <w:rPr>
          <w:rFonts w:ascii="Goudy Old Style" w:hAnsi="Goudy Old Style"/>
        </w:rPr>
        <w:t>.</w:t>
      </w:r>
      <w:r w:rsidR="00A905AE" w:rsidRPr="00422DDB">
        <w:rPr>
          <w:rFonts w:ascii="Goudy Old Style" w:hAnsi="Goudy Old Style"/>
          <w:vertAlign w:val="superscript"/>
        </w:rPr>
        <w:fldChar w:fldCharType="begin" w:fldLock="1"/>
      </w:r>
      <w:r w:rsidR="00B528C6" w:rsidRPr="00422DDB">
        <w:rPr>
          <w:rFonts w:ascii="Goudy Old Style" w:hAnsi="Goudy Old Style"/>
          <w:vertAlign w:val="superscript"/>
        </w:rPr>
        <w:instrText>ADDIN CSL_CITATION {"citationItems":[{"id":"ITEM-1","itemData":{"PMID":"32227831","abstract":"Guidelines published in 2016 provide a revised definition of sepsis: life-threatening organ dysfunction caused by a dysregulated host response to infection. The guidelines define septic shock as sepsis with circulatory, cellular, and metabolic dysfunction that is associated with a higher risk of mortality. The measurement of serum lactate has been incorporated into the latest septic shock definition. The guidelines recommend the Sequential Organ Failure Assessment (original and quick versions) as an \nimportant tool for early diagnosis. Respiratory, gastrointestinal, genitourinary, and skin and soft tissue infections are the most common sources of sepsis. Pneumonia is the most common cause of sepsis. Although many patients with sepsis have fever, the clinical manifestation can be subtle, particularly in older patients and those who are immunocompromised. Initial evaluation of patients with suspected sepsis includes basic laboratory tests, cultures, imaging studies as indicated, and sepsis biomarkers such as procalcitonin and lactate levels. Fluid resuscitation is the priority in early management, including administering an intravenous crystalloid at 30 mL per kg within the first three hours. Antimicrobial therapy should also be initiated early. Most research indicates that antimicrobial therapy should be started within three hours of presentation. The latest guidelines recommend starting antimicrobials within one hour, but this is controversial. Vasopressor therapy is indicated if hypotension persists despite fluid administration. Future trials of sepsis management are focusing on improving long-term rates of readmission and death, physical disability, cognitive impairment, and quality of life.","author":[{"dropping-particle":"","family":"Robert Gauer","given":"","non-dropping-particle":"","parse-names":false,"suffix":""},{"dropping-particle":"","family":"Damon Forbes","given":"","non-dropping-particle":"","parse-names":false,"suffix":""},{"dropping-particle":"","family":"Nathan Boyer","given":"","non-dropping-particle":"","parse-names":false,"suffix":""}],"container-title":"American Family Physician","id":"ITEM-1","issue":"7","issued":{"date-parts":[["2020"]]},"page":"409-418","title":"Sepsis: Diagnosis and Management","type":"article-journal","volume":"101"},"uris":["http://www.mendeley.com/documents/?uuid=fa8920f4-9d07-4ac2-9d45-f108132eddd6"]},{"id":"ITEM-2","itemData":{"DOI":"10.1080/14737159.2019.1660644","ISSN":"17448352","PMID":"31446810","author":[{"dropping-particle":"","family":"Sweeney","given":"Timothy E.","non-dropping-particle":"","parse-names":false,"suffix":""},{"dropping-particle":"","family":"Liesenfeld","given":"Oliver","non-dropping-particle":"","parse-names":false,"suffix":""},{"dropping-particle":"","family":"May","given":"Larissa","non-dropping-particle":"","parse-names":false,"suffix":""}],"container-title":"Expert Review of Molecular Diagnostics","id":"ITEM-2","issue":"11","issued":{"date-parts":[["2019"]]},"page":"959-962","publisher":"Taylor &amp; Francis","title":"Diagnosis of bacterial sepsis: why are tests for bacteremia not sufficient?","type":"article-journal","volume":"19"},"uris":["http://www.mendeley.com/documents/?uuid=ac51ccba-509d-465c-9e54-bb1b9686ac28"]},{"id":"ITEM-3","itemData":{"DOI":"10.1513/AnnalsATS.202005-484IP","ISBN":"2332015000","ISSN":"23256621","PMID":"33252987","author":[{"dropping-particle":"","family":"Tamma","given":"Pranita D.","non-dropping-particle":"","parse-names":false,"suffix":""},{"dropping-particle":"","family":"Miller","given":"Melissa A.","non-dropping-particle":"","parse-names":false,"suffix":""},{"dropping-particle":"","family":"Cosgrove","given":"Sara E.","non-dropping-particle":"","parse-names":false,"suffix":""}],"container-title":"Annals of the American Thoracic Society","id":"ITEM-3","issue":"2","issued":{"date-parts":[["2021"]]},"page":"200-203","title":"Recalibrating our approach to the management of sepsis how the four moments of antibiotic decision-making can help","type":"article-journal","volume":"18"},"uris":["http://www.mendeley.com/documents/?uuid=0de7d8f8-3a77-424a-9799-89a545f0ec86"]}],"mendeley":{"formattedCitation":"(2–4)","plainTextFormattedCitation":"(2–4)","previouslyFormattedCitation":"(2–4)"},"properties":{"noteIndex":0},"schema":"https://github.com/citation-style-language/schema/raw/master/csl-citation.json"}</w:instrText>
      </w:r>
      <w:r w:rsidR="00A905AE" w:rsidRPr="00422DDB">
        <w:rPr>
          <w:rFonts w:ascii="Goudy Old Style" w:hAnsi="Goudy Old Style"/>
          <w:vertAlign w:val="superscript"/>
        </w:rPr>
        <w:fldChar w:fldCharType="separate"/>
      </w:r>
      <w:r w:rsidR="00B528C6" w:rsidRPr="00422DDB">
        <w:rPr>
          <w:rFonts w:ascii="Goudy Old Style" w:hAnsi="Goudy Old Style"/>
          <w:noProof/>
          <w:vertAlign w:val="superscript"/>
        </w:rPr>
        <w:t>2</w:t>
      </w:r>
      <w:r w:rsidR="00B46D7A" w:rsidRPr="00422DDB">
        <w:rPr>
          <w:rFonts w:ascii="Goudy Old Style" w:hAnsi="Goudy Old Style"/>
          <w:noProof/>
          <w:vertAlign w:val="superscript"/>
        </w:rPr>
        <w:t>,3,</w:t>
      </w:r>
      <w:r w:rsidR="00B528C6" w:rsidRPr="00422DDB">
        <w:rPr>
          <w:rFonts w:ascii="Goudy Old Style" w:hAnsi="Goudy Old Style"/>
          <w:noProof/>
          <w:vertAlign w:val="superscript"/>
        </w:rPr>
        <w:t>4</w:t>
      </w:r>
      <w:r w:rsidR="00A905AE" w:rsidRPr="00422DDB">
        <w:rPr>
          <w:rFonts w:ascii="Goudy Old Style" w:hAnsi="Goudy Old Style"/>
          <w:vertAlign w:val="superscript"/>
        </w:rPr>
        <w:fldChar w:fldCharType="end"/>
      </w:r>
      <w:r w:rsidR="00A905AE" w:rsidRPr="00422DDB">
        <w:rPr>
          <w:rFonts w:ascii="Goudy Old Style" w:hAnsi="Goudy Old Style"/>
        </w:rPr>
        <w:t xml:space="preserve"> </w:t>
      </w:r>
    </w:p>
    <w:p w14:paraId="730464FD" w14:textId="786C810D" w:rsidR="00B528C6" w:rsidRPr="00422DDB" w:rsidRDefault="00B528C6" w:rsidP="0004060E">
      <w:pPr>
        <w:spacing w:line="276" w:lineRule="auto"/>
        <w:ind w:firstLine="567"/>
        <w:jc w:val="both"/>
        <w:rPr>
          <w:rFonts w:ascii="Goudy Old Style" w:hAnsi="Goudy Old Style"/>
        </w:rPr>
      </w:pPr>
      <w:r w:rsidRPr="00422DDB">
        <w:rPr>
          <w:rFonts w:ascii="Goudy Old Style" w:hAnsi="Goudy Old Style"/>
        </w:rPr>
        <w:t>Risk factors for sepsis include immunosuppression, renal disease, cancer or malignancy, diabetes mellitus, chronic lung disease, congestive heart failure, and alcohol use</w:t>
      </w:r>
      <w:r w:rsidR="00B46D7A" w:rsidRPr="00422DDB">
        <w:rPr>
          <w:rFonts w:ascii="Goudy Old Style" w:hAnsi="Goudy Old Style"/>
        </w:rPr>
        <w:t>.</w:t>
      </w:r>
      <w:r w:rsidRPr="00422DDB">
        <w:rPr>
          <w:rFonts w:ascii="Goudy Old Style" w:hAnsi="Goudy Old Style"/>
          <w:vertAlign w:val="superscript"/>
        </w:rPr>
        <w:fldChar w:fldCharType="begin" w:fldLock="1"/>
      </w:r>
      <w:r w:rsidRPr="00422DDB">
        <w:rPr>
          <w:rFonts w:ascii="Goudy Old Style" w:hAnsi="Goudy Old Style"/>
          <w:vertAlign w:val="superscript"/>
        </w:rPr>
        <w:instrText>ADDIN CSL_CITATION {"citationItems":[{"id":"ITEM-1","itemData":{"DOI":"10.35971/jjhsr.v4i3.12488","ISSN":"2623-0674","abstract":"Abstract               Sepsis is a severe infectious disease accompanied by the discovery of a systemic response that can include hypothermia, hyperthermia, tachycardia, hyperventilation, and fatigue. Some studies suggest age is the most common risk factor for sepsis. The goal of the study was to determine the risk factors for sepsis in elderly patients associated based on age, gender, diagnosis, location of the infection, and length of treatment. The study used 100 samples of elderly patients aged 60 years diagnosed with sepsis. Descriptive analysis techniques with cross-sectional designs are used to explain the characteristics of each research variable. The results of the study explained that the risk factors for sepsis most in elderly patients by age are 70 years as many as 53 people (53.0%), female sex as many as 52 people (52.0%), endocrinological diagnoses as many as 24 people (23.5%), the location of lung infections as many as 20 people (19.6%), the length of treatment 3 to 7 days as many as 45 people (45%). Based on the results of the study showed that the elderly are an age that is susceptible to sepsis because the immune system and organ function will decrease with age. Endocrine diseases, such as diabetes mellitus, and infections of the lungs are the biggest risk factors for sepsis in the elderly.","author":[{"dropping-particle":"","family":"Sanjaya","given":"Bagas Dwi","non-dropping-particle":"","parse-names":false,"suffix":""},{"dropping-particle":"","family":"Djuang","given":"Michelle Hendriani","non-dropping-particle":"","parse-names":false,"suffix":""},{"dropping-particle":"","family":"Muniro","given":"Fazwiansyah Darlin","non-dropping-particle":"","parse-names":false,"suffix":""},{"dropping-particle":"","family":"Chiuman","given":"Linda","non-dropping-particle":"","parse-names":false,"suffix":""}],"container-title":"Jambura Journal of Health Sciences and Research","id":"ITEM-1","issue":"3","issued":{"date-parts":[["2022"]]},"page":"596-603","title":"Sepsis Risk Factors in Elderly Patients At Royal Prima Medan General Hospital","type":"article-journal","volume":"4"},"uris":["http://www.mendeley.com/documents/?uuid=45b3bc81-f7c9-4486-afd5-f7935acf94f1"]}],"mendeley":{"formattedCitation":"(5)","plainTextFormattedCitation":"(5)","previouslyFormattedCitation":"(5)"},"properties":{"noteIndex":0},"schema":"https://github.com/citation-style-language/schema/raw/master/csl-citation.json"}</w:instrText>
      </w:r>
      <w:r w:rsidRPr="00422DDB">
        <w:rPr>
          <w:rFonts w:ascii="Goudy Old Style" w:hAnsi="Goudy Old Style"/>
          <w:vertAlign w:val="superscript"/>
        </w:rPr>
        <w:fldChar w:fldCharType="separate"/>
      </w:r>
      <w:r w:rsidRPr="00422DDB">
        <w:rPr>
          <w:rFonts w:ascii="Goudy Old Style" w:hAnsi="Goudy Old Style"/>
          <w:noProof/>
          <w:vertAlign w:val="superscript"/>
        </w:rPr>
        <w:t>5</w:t>
      </w:r>
      <w:r w:rsidRPr="00422DDB">
        <w:rPr>
          <w:rFonts w:ascii="Goudy Old Style" w:hAnsi="Goudy Old Style"/>
          <w:vertAlign w:val="superscript"/>
        </w:rPr>
        <w:fldChar w:fldCharType="end"/>
      </w:r>
      <w:r w:rsidRPr="00422DDB">
        <w:rPr>
          <w:rFonts w:ascii="Goudy Old Style" w:hAnsi="Goudy Old Style"/>
        </w:rPr>
        <w:t xml:space="preserve"> Risk factors for sepsis in patients admitted to surgical, neurological, trauma, and ICU care. Age, especially in neonates or the elderly, gender, and comorbidities are non-modifiable risk factors. Critical care interventions and surgery-related factors are modifiable factors and suggest that improving surgical patient care and effective management of critical care interventions may play an important role in reducing the occurrence of sepsis in patients admitted to the ICU</w:t>
      </w:r>
      <w:r w:rsidR="00B46D7A" w:rsidRPr="00422DDB">
        <w:rPr>
          <w:rFonts w:ascii="Goudy Old Style" w:hAnsi="Goudy Old Style"/>
        </w:rPr>
        <w:t>.</w:t>
      </w:r>
      <w:r w:rsidRPr="00422DDB">
        <w:rPr>
          <w:rFonts w:ascii="Goudy Old Style" w:hAnsi="Goudy Old Style"/>
          <w:vertAlign w:val="superscript"/>
        </w:rPr>
        <w:fldChar w:fldCharType="begin" w:fldLock="1"/>
      </w:r>
      <w:r w:rsidR="001137C4" w:rsidRPr="00422DDB">
        <w:rPr>
          <w:rFonts w:ascii="Goudy Old Style" w:hAnsi="Goudy Old Style"/>
          <w:vertAlign w:val="superscript"/>
        </w:rPr>
        <w:instrText>ADDIN CSL_CITATION {"citationItems":[{"id":"ITEM-1","itemData":{"DOI":"10.1016/j.aucc.2018.02.005","ISBN":"9821224024","ISSN":"10367314","PMID":"29574007","abstract":"Objective: We sought to systematically review data on the risk factors influencing the incidence of sepsis in patients admitted to intensive care units (ICUs). Review methods: An electronic search was undertaken in PubMed, MEDLINE, Scopus, and the Cochrane Library for studies reporting the risk factors of sepsis from the earliest available date up to December 30, 2016. Results: Among the 2978 articles, 14 studies met the inclusion criteria with a total of 56 164 participants from nine countries. The extracted risk factors were from the following categories: demographic, critical care interventions, surgery-related factors, pre-existing comorbidities, severity of organ injury, and biomarkers and biochemical and molecular indicators. From demographic factors, older age and male gender were associated with an increased risk of sepsis among ICU-admitted patients. Conclusion: Our analysis comprehensively summarised the risk factors of sepsis in patients admitted to medical, surgical, neurologic, trauma, and general ICUs. Age, sex, and comorbidities were non-modifiable risk factors; however, critical care interventions and surgery-related factors were modifiable factors and suggest that improving the care of surgical patients and effective management of critical care interventions may play a key role in decreasing the development of sepsis in patients admitted to the ICUs.","author":[{"dropping-particle":"","family":"Fathi","given":"Mohammad","non-dropping-particle":"","parse-names":false,"suffix":""},{"dropping-particle":"","family":"Markazi-Moghaddam","given":"Nader","non-dropping-particle":"","parse-names":false,"suffix":""},{"dropping-particle":"","family":"Ramezankhani","given":"Azra","non-dropping-particle":"","parse-names":false,"suffix":""}],"container-title":"Australian Critical Care","id":"ITEM-1","issue":"2","issued":{"date-parts":[["2019"]]},"page":"155-164","publisher":"Elsevier Ltd","title":"A systematic review on risk factors associated with sepsis in patients admitted to intensive care units","type":"article-journal","volume":"32"},"uris":["http://www.mendeley.com/documents/?uuid=6c7b71ef-6b59-4ce3-80de-0606c59008fa"]}],"mendeley":{"formattedCitation":"(6)","plainTextFormattedCitation":"(6)","previouslyFormattedCitation":"(6)"},"properties":{"noteIndex":0},"schema":"https://github.com/citation-style-language/schema/raw/master/csl-citation.json"}</w:instrText>
      </w:r>
      <w:r w:rsidRPr="00422DDB">
        <w:rPr>
          <w:rFonts w:ascii="Goudy Old Style" w:hAnsi="Goudy Old Style"/>
          <w:vertAlign w:val="superscript"/>
        </w:rPr>
        <w:fldChar w:fldCharType="separate"/>
      </w:r>
      <w:r w:rsidRPr="00422DDB">
        <w:rPr>
          <w:rFonts w:ascii="Goudy Old Style" w:hAnsi="Goudy Old Style"/>
          <w:noProof/>
          <w:vertAlign w:val="superscript"/>
        </w:rPr>
        <w:t>6</w:t>
      </w:r>
      <w:r w:rsidRPr="00422DDB">
        <w:rPr>
          <w:rFonts w:ascii="Goudy Old Style" w:hAnsi="Goudy Old Style"/>
          <w:vertAlign w:val="superscript"/>
        </w:rPr>
        <w:fldChar w:fldCharType="end"/>
      </w:r>
      <w:r w:rsidRPr="00422DDB">
        <w:rPr>
          <w:rFonts w:ascii="Goudy Old Style" w:hAnsi="Goudy Old Style"/>
        </w:rPr>
        <w:t xml:space="preserve"> </w:t>
      </w:r>
    </w:p>
    <w:p w14:paraId="6511FFED" w14:textId="6B0935FE" w:rsidR="002A07A7" w:rsidRPr="00422DDB" w:rsidRDefault="002A07A7" w:rsidP="0004060E">
      <w:pPr>
        <w:spacing w:line="276" w:lineRule="auto"/>
        <w:ind w:firstLine="567"/>
        <w:jc w:val="both"/>
        <w:rPr>
          <w:rFonts w:ascii="Goudy Old Style" w:hAnsi="Goudy Old Style"/>
        </w:rPr>
      </w:pPr>
      <w:r w:rsidRPr="00422DDB">
        <w:rPr>
          <w:rFonts w:ascii="Goudy Old Style" w:hAnsi="Goudy Old Style"/>
        </w:rPr>
        <w:t xml:space="preserve">Sepsis is </w:t>
      </w:r>
      <w:r w:rsidR="00E54451" w:rsidRPr="00422DDB">
        <w:rPr>
          <w:rFonts w:ascii="Goudy Old Style" w:hAnsi="Goudy Old Style"/>
        </w:rPr>
        <w:t>most caused</w:t>
      </w:r>
      <w:r w:rsidRPr="00422DDB">
        <w:rPr>
          <w:rFonts w:ascii="Goudy Old Style" w:hAnsi="Goudy Old Style"/>
        </w:rPr>
        <w:t xml:space="preserve"> by bacteria, but in recent years the incidence of sepsis has increased in fungal infections, especially </w:t>
      </w:r>
      <w:r w:rsidRPr="00422DDB">
        <w:rPr>
          <w:rFonts w:ascii="Goudy Old Style" w:hAnsi="Goudy Old Style"/>
          <w:i/>
          <w:iCs/>
        </w:rPr>
        <w:t>Candida</w:t>
      </w:r>
      <w:r w:rsidRPr="00422DDB">
        <w:rPr>
          <w:rFonts w:ascii="Goudy Old Style" w:hAnsi="Goudy Old Style"/>
        </w:rPr>
        <w:t xml:space="preserve"> species. Mortality from sepsis caused by </w:t>
      </w:r>
      <w:r w:rsidRPr="00422DDB">
        <w:rPr>
          <w:rFonts w:ascii="Goudy Old Style" w:hAnsi="Goudy Old Style"/>
          <w:i/>
          <w:iCs/>
        </w:rPr>
        <w:t xml:space="preserve">Candida </w:t>
      </w:r>
      <w:r w:rsidRPr="00422DDB">
        <w:rPr>
          <w:rFonts w:ascii="Goudy Old Style" w:hAnsi="Goudy Old Style"/>
        </w:rPr>
        <w:t xml:space="preserve">species is higher than infection with </w:t>
      </w:r>
      <w:r w:rsidRPr="00422DDB">
        <w:rPr>
          <w:rFonts w:ascii="Goudy Old Style" w:hAnsi="Goudy Old Style"/>
          <w:i/>
          <w:iCs/>
        </w:rPr>
        <w:t>Pseudomonas aeruginosa, Staphylococcus aureus</w:t>
      </w:r>
      <w:r w:rsidRPr="00422DDB">
        <w:rPr>
          <w:rFonts w:ascii="Goudy Old Style" w:hAnsi="Goudy Old Style"/>
        </w:rPr>
        <w:t xml:space="preserve"> or </w:t>
      </w:r>
      <w:r w:rsidRPr="00422DDB">
        <w:rPr>
          <w:rFonts w:ascii="Goudy Old Style" w:hAnsi="Goudy Old Style"/>
          <w:i/>
          <w:iCs/>
        </w:rPr>
        <w:t>Escherichia coli</w:t>
      </w:r>
      <w:r w:rsidRPr="00422DDB">
        <w:rPr>
          <w:rFonts w:ascii="Goudy Old Style" w:hAnsi="Goudy Old Style"/>
        </w:rPr>
        <w:t>.</w:t>
      </w:r>
      <w:r w:rsidR="00B528C6" w:rsidRPr="00422DDB">
        <w:rPr>
          <w:rFonts w:ascii="Goudy Old Style" w:hAnsi="Goudy Old Style"/>
        </w:rPr>
        <w:t xml:space="preserve"> </w:t>
      </w:r>
      <w:r w:rsidRPr="00422DDB">
        <w:rPr>
          <w:rFonts w:ascii="Goudy Old Style" w:hAnsi="Goudy Old Style"/>
        </w:rPr>
        <w:t>Improper management of sepsis leads to sepsis shock, multiple organ failure and death. Severe sepsis and septic shock cause mortality in intensive care units globally, ranging from 30-50%</w:t>
      </w:r>
      <w:r w:rsidR="00B46D7A" w:rsidRPr="00422DDB">
        <w:rPr>
          <w:rFonts w:ascii="Goudy Old Style" w:hAnsi="Goudy Old Style"/>
        </w:rPr>
        <w:t>.</w:t>
      </w:r>
      <w:r w:rsidR="00B528C6" w:rsidRPr="00422DDB">
        <w:rPr>
          <w:rFonts w:ascii="Goudy Old Style" w:hAnsi="Goudy Old Style"/>
          <w:vertAlign w:val="superscript"/>
        </w:rPr>
        <w:fldChar w:fldCharType="begin" w:fldLock="1"/>
      </w:r>
      <w:r w:rsidR="001137C4" w:rsidRPr="00422DDB">
        <w:rPr>
          <w:rFonts w:ascii="Goudy Old Style" w:hAnsi="Goudy Old Style"/>
          <w:vertAlign w:val="superscript"/>
        </w:rPr>
        <w:instrText>ADDIN CSL_CITATION {"citationItems":[{"id":"ITEM-1","itemData":{"author":[{"dropping-particle":"","family":"WHO","given":"","non-dropping-particle":"","parse-names":false,"suffix":""}],"id":"ITEM-1","issued":{"date-parts":[["2023"]]},"title":"Sepsis","type":"article"},"uris":["http://www.mendeley.com/documents/?uuid=a17e630e-489d-4c08-af3c-bfd15a00b395"]}],"mendeley":{"formattedCitation":"(7)","plainTextFormattedCitation":"(7)","previouslyFormattedCitation":"(7)"},"properties":{"noteIndex":0},"schema":"https://github.com/citation-style-language/schema/raw/master/csl-citation.json"}</w:instrText>
      </w:r>
      <w:r w:rsidR="00B528C6" w:rsidRPr="00422DDB">
        <w:rPr>
          <w:rFonts w:ascii="Goudy Old Style" w:hAnsi="Goudy Old Style"/>
          <w:vertAlign w:val="superscript"/>
        </w:rPr>
        <w:fldChar w:fldCharType="separate"/>
      </w:r>
      <w:r w:rsidR="00B528C6" w:rsidRPr="00422DDB">
        <w:rPr>
          <w:rFonts w:ascii="Goudy Old Style" w:hAnsi="Goudy Old Style"/>
          <w:noProof/>
          <w:vertAlign w:val="superscript"/>
        </w:rPr>
        <w:t>7</w:t>
      </w:r>
      <w:r w:rsidR="00B528C6" w:rsidRPr="00422DDB">
        <w:rPr>
          <w:rFonts w:ascii="Goudy Old Style" w:hAnsi="Goudy Old Style"/>
          <w:vertAlign w:val="superscript"/>
        </w:rPr>
        <w:fldChar w:fldCharType="end"/>
      </w:r>
      <w:r w:rsidRPr="00422DDB">
        <w:rPr>
          <w:rFonts w:ascii="Goudy Old Style" w:hAnsi="Goudy Old Style"/>
        </w:rPr>
        <w:t xml:space="preserve"> As many as 8-10% of causes of septic shock are caused by </w:t>
      </w:r>
      <w:r w:rsidRPr="00422DDB">
        <w:rPr>
          <w:rFonts w:ascii="Goudy Old Style" w:hAnsi="Goudy Old Style"/>
          <w:i/>
          <w:iCs/>
        </w:rPr>
        <w:t xml:space="preserve">Candida </w:t>
      </w:r>
      <w:r w:rsidRPr="00422DDB">
        <w:rPr>
          <w:rFonts w:ascii="Goudy Old Style" w:hAnsi="Goudy Old Style"/>
        </w:rPr>
        <w:t>infection. Septic shock with candidemia causes a high mortality of 54-66%. Abdominal infection is one of the sources of sepsis and septic shock in Candidemia</w:t>
      </w:r>
      <w:r w:rsidR="00B46D7A" w:rsidRPr="00422DDB">
        <w:rPr>
          <w:rFonts w:ascii="Goudy Old Style" w:hAnsi="Goudy Old Style"/>
        </w:rPr>
        <w:t>.</w:t>
      </w:r>
      <w:r w:rsidRPr="00422DDB">
        <w:rPr>
          <w:rFonts w:ascii="Goudy Old Style" w:hAnsi="Goudy Old Style"/>
          <w:vertAlign w:val="superscript"/>
        </w:rPr>
        <w:fldChar w:fldCharType="begin" w:fldLock="1"/>
      </w:r>
      <w:r w:rsidR="001137C4" w:rsidRPr="00422DDB">
        <w:rPr>
          <w:rFonts w:ascii="Goudy Old Style" w:hAnsi="Goudy Old Style"/>
          <w:vertAlign w:val="superscript"/>
        </w:rPr>
        <w:instrText>ADDIN CSL_CITATION {"citationItems":[{"id":"ITEM-1","itemData":{"DOI":"10.1055/s-0039-1693704","ISSN":"10989048","PMID":"31585478","abstract":"Candidemia is the fourth most frequent health care-associated bloodstream infection, and the most frequent severe fungal infection developing in critically ill patients in intensive care units (ICUs). Diagnosis of candidemia in ICU patients is a complex task made of both early and late assessments involving both conventional diagnostic methods and novel rapid tests. Management strategies to optimize treatment of candidemia can be challenging and include starting early adequate therapy, use of an adequate dose and duration of therapy, de-escalating treatment whenever possible, and early discontinuation of useless antifungals in those with no definitive diagnosis of fungal infection. Herein, we will discuss recent epidemiological data on candidemia in ICUs and current diagnostic techniques before concentrating on antifungal treatments.","author":[{"dropping-particle":"","family":"Bassetti","given":"Matteo","non-dropping-particle":"","parse-names":false,"suffix":""},{"dropping-particle":"","family":"Giacobbe","given":"Daniele R.","non-dropping-particle":"","parse-names":false,"suffix":""},{"dropping-particle":"","family":"Vena","given":"Antonio","non-dropping-particle":"","parse-names":false,"suffix":""},{"dropping-particle":"","family":"Wolff","given":"Michel","non-dropping-particle":"","parse-names":false,"suffix":""}],"container-title":"Seminars in Respiratory and Critical Care Medicine","id":"ITEM-1","issue":"4","issued":{"date-parts":[["2019"]]},"page":"524-539","title":"Diagnosis and Treatment of Candidemia in the Intensive Care Unit","type":"article-journal","volume":"40"},"uris":["http://www.mendeley.com/documents/?uuid=f5c443e0-50c7-4c4e-8fed-e6fa73848a8f"]}],"mendeley":{"formattedCitation":"(8)","plainTextFormattedCitation":"(8)","previouslyFormattedCitation":"(8)"},"properties":{"noteIndex":0},"schema":"https://github.com/citation-style-language/schema/raw/master/csl-citation.json"}</w:instrText>
      </w:r>
      <w:r w:rsidRPr="00422DDB">
        <w:rPr>
          <w:rFonts w:ascii="Goudy Old Style" w:hAnsi="Goudy Old Style"/>
          <w:vertAlign w:val="superscript"/>
        </w:rPr>
        <w:fldChar w:fldCharType="separate"/>
      </w:r>
      <w:r w:rsidR="00B528C6" w:rsidRPr="00422DDB">
        <w:rPr>
          <w:rFonts w:ascii="Goudy Old Style" w:hAnsi="Goudy Old Style"/>
          <w:noProof/>
          <w:vertAlign w:val="superscript"/>
        </w:rPr>
        <w:t>8</w:t>
      </w:r>
      <w:r w:rsidRPr="00422DDB">
        <w:rPr>
          <w:rFonts w:ascii="Goudy Old Style" w:hAnsi="Goudy Old Style"/>
          <w:vertAlign w:val="superscript"/>
        </w:rPr>
        <w:fldChar w:fldCharType="end"/>
      </w:r>
      <w:r w:rsidRPr="00422DDB">
        <w:rPr>
          <w:rFonts w:ascii="Goudy Old Style" w:hAnsi="Goudy Old Style"/>
        </w:rPr>
        <w:t xml:space="preserve"> Blood </w:t>
      </w:r>
      <w:r w:rsidR="00CE07FD">
        <w:rPr>
          <w:rFonts w:ascii="Goudy Old Style" w:hAnsi="Goudy Old Style"/>
        </w:rPr>
        <w:t>culture</w:t>
      </w:r>
      <w:r w:rsidRPr="00422DDB">
        <w:rPr>
          <w:rFonts w:ascii="Goudy Old Style" w:hAnsi="Goudy Old Style"/>
        </w:rPr>
        <w:t xml:space="preserve"> sensitivity is decreased in sepsis patients receiving empirical antimicrobial therapy</w:t>
      </w:r>
      <w:r w:rsidR="00B46D7A" w:rsidRPr="00422DDB">
        <w:rPr>
          <w:rFonts w:ascii="Goudy Old Style" w:hAnsi="Goudy Old Style"/>
        </w:rPr>
        <w:t>.</w:t>
      </w:r>
      <w:r w:rsidRPr="00422DDB">
        <w:rPr>
          <w:rFonts w:ascii="Goudy Old Style" w:hAnsi="Goudy Old Style"/>
          <w:vertAlign w:val="superscript"/>
        </w:rPr>
        <w:fldChar w:fldCharType="begin" w:fldLock="1"/>
      </w:r>
      <w:r w:rsidR="00B528C6" w:rsidRPr="00422DDB">
        <w:rPr>
          <w:rFonts w:ascii="Goudy Old Style" w:hAnsi="Goudy Old Style"/>
          <w:vertAlign w:val="superscript"/>
        </w:rPr>
        <w:instrText>ADDIN CSL_CITATION {"citationItems":[{"id":"ITEM-1","itemData":{"DOI":"10.7326/M19-1696","ISSN":"15393704","PMID":"31525774","abstract":"Background: Administering antimicrobial agents before obtaining blood cultures could potentially decrease time to treatment and improve outcomes, but it is unclear how this strategy affects diagnostic sensitivity. Objective: To determine the sensitivity of blood cultures obtained shortly after initiation of antimicrobial therapy in patients with severe manifestations of sepsis. Design: Patient-level, single-group, diagnostic study. (ClinicalTrials.gov: NCT01867905). Setting: 7 emergency departments in North America. Participants: Adults with severe manifestations of sepsis, including systolic blood pressure less than 90 mm Hg or a serum lactate level of 4 mmol/L or more. Intervention: Blood cultures were obtained before and within 120 minutes after initiation of antimicrobial treatment. Measurements: Sensitivity of blood cultures obtained after initiation of antimicrobial therapy. Results: Of 3164 participants screened, 325 were included in the study (mean age, 65.6 years; 62.8% men) and had repeated blood cultures drawn after initiation of antimicrobial therapy (median time, 70 minutes [interquartile range, 50 to 110 minutes]). Preantimicrobial blood cultures were positive for 1 or more microbial pathogens in 102 of 325 (31.4%) patients. Postantimicrobial blood cultures were positive for 1 or more microbial pathogens in 63 of 325 (19.4%) patients. The absolute difference in the proportion of positive blood cultures between pre- and postantimicrobial testing was 12.0% (95% CI, 5.4% to 18.6%; P &lt; 0.001). Sensitivity of postantimicrobial culture was 52.9% (CI, 42.8% to 62.9%). When the results of other microbiological cultures were included, microbial pathogens were found in 69 of 102 (67.6% [CI, 57.7% to 76.6%]) patients. Limitation: Only a proportion of screened patients were recruited. Conclusion: Among patients with severe manifestations of sepsis, initiation of empirical antimicrobial therapy significantly reduces the sensitivity of blood cultures drawn shortly after treatment initiation. Primary Funding Source: Vancouver Coastal Health, St. Paul's Hospital Foundation Emergency Department Support Fund, the Fonds de recherche Santé-Québec, and the Maricopa Medical Foundation.","author":[{"dropping-particle":"","family":"Cheng","given":"Matthew P.","non-dropping-particle":"","parse-names":false,"suffix":""},{"dropping-particle":"","family":"Stenstrom","given":"Robert","non-dropping-particle":"","parse-names":false,"suffix":""},{"dropping-particle":"","family":"Paquette","given":"Katryn","non-dropping-particle":"","parse-names":false,"suffix":""},{"dropping-particle":"","family":"Stabler","given":"Sarah N.","non-dropping-particle":"","parse-names":false,"suffix":""},{"dropping-particle":"","family":"Akhter","given":"Murtaza","non-dropping-particle":"","parse-names":false,"suffix":""},{"dropping-particle":"","family":"Davidson","given":"Adam C.","non-dropping-particle":"","parse-names":false,"suffix":""},{"dropping-particle":"","family":"Gavric","given":"Marko","non-dropping-particle":"","parse-names":false,"suffix":""},{"dropping-particle":"","family":"Lawandi","given":"Alexander","non-dropping-particle":"","parse-names":false,"suffix":""},{"dropping-particle":"","family":"Jinah","given":"Rehman","non-dropping-particle":"","parse-names":false,"suffix":""},{"dropping-particle":"","family":"Saeed","given":"Zahid","non-dropping-particle":"","parse-names":false,"suffix":""},{"dropping-particle":"","family":"Demir","given":"Koray","non-dropping-particle":"","parse-names":false,"suffix":""},{"dropping-particle":"","family":"Huang","given":"Kelly","non-dropping-particle":"","parse-names":false,"suffix":""},{"dropping-particle":"","family":"Mahpour","given":"Amirali","non-dropping-particle":"","parse-names":false,"suffix":""},{"dropping-particle":"","family":"Shamatutu","given":"Chris","non-dropping-particle":"","parse-names":false,"suffix":""},{"dropping-particle":"","family":"Caya","given":"Chelsea","non-dropping-particle":"","parse-names":false,"suffix":""},{"dropping-particle":"","family":"Troquet","given":"Jean Marc","non-dropping-particle":"","parse-names":false,"suffix":""},{"dropping-particle":"","family":"Clark","given":"Greg","non-dropping-particle":"","parse-names":false,"suffix":""},{"dropping-particle":"","family":"Yansouni","given":"Cedric P.","non-dropping-particle":"","parse-names":false,"suffix":""},{"dropping-particle":"","family":"Sweet","given":"David","non-dropping-particle":"","parse-names":false,"suffix":""}],"container-title":"Annals of internal medicine","id":"ITEM-1","issue":"8","issued":{"date-parts":[["2019"]]},"page":"547-554","title":"Blood Culture Results Before and After Antimicrobial Administration in Patients With Severe Manifestations of Sepsis: A Diagnostic Study","type":"article-journal","volume":"171"},"uris":["http://www.mendeley.com/documents/?uuid=ae926a6b-4faf-4d46-851a-1a01645589a7"]}],"mendeley":{"formattedCitation":"(1)","plainTextFormattedCitation":"(1)","previouslyFormattedCitation":"(1)"},"properties":{"noteIndex":0},"schema":"https://github.com/citation-style-language/schema/raw/master/csl-citation.json"}</w:instrText>
      </w:r>
      <w:r w:rsidRPr="00422DDB">
        <w:rPr>
          <w:rFonts w:ascii="Goudy Old Style" w:hAnsi="Goudy Old Style"/>
          <w:vertAlign w:val="superscript"/>
        </w:rPr>
        <w:fldChar w:fldCharType="separate"/>
      </w:r>
      <w:r w:rsidR="00CA7D51" w:rsidRPr="00422DDB">
        <w:rPr>
          <w:rFonts w:ascii="Goudy Old Style" w:hAnsi="Goudy Old Style"/>
          <w:noProof/>
          <w:vertAlign w:val="superscript"/>
        </w:rPr>
        <w:t>1</w:t>
      </w:r>
      <w:r w:rsidRPr="00422DDB">
        <w:rPr>
          <w:rFonts w:ascii="Goudy Old Style" w:hAnsi="Goudy Old Style"/>
          <w:vertAlign w:val="superscript"/>
        </w:rPr>
        <w:fldChar w:fldCharType="end"/>
      </w:r>
      <w:r w:rsidRPr="00422DDB">
        <w:rPr>
          <w:rFonts w:ascii="Goudy Old Style" w:hAnsi="Goudy Old Style"/>
        </w:rPr>
        <w:t xml:space="preserve"> </w:t>
      </w:r>
      <w:r w:rsidR="00CA7D51" w:rsidRPr="00422DDB">
        <w:rPr>
          <w:rFonts w:ascii="Goudy Old Style" w:hAnsi="Goudy Old Style"/>
        </w:rPr>
        <w:t>The foundation of sepsis management continues with early antimicrobial administration, control of the source of infection, and supportive care</w:t>
      </w:r>
      <w:r w:rsidR="00B46D7A" w:rsidRPr="00422DDB">
        <w:rPr>
          <w:rFonts w:ascii="Goudy Old Style" w:hAnsi="Goudy Old Style"/>
        </w:rPr>
        <w:t>.</w:t>
      </w:r>
      <w:r w:rsidR="00CA7D51" w:rsidRPr="00422DDB">
        <w:rPr>
          <w:rFonts w:ascii="Goudy Old Style" w:hAnsi="Goudy Old Style"/>
          <w:vertAlign w:val="superscript"/>
        </w:rPr>
        <w:fldChar w:fldCharType="begin" w:fldLock="1"/>
      </w:r>
      <w:r w:rsidR="00B528C6" w:rsidRPr="00422DDB">
        <w:rPr>
          <w:rFonts w:ascii="Goudy Old Style" w:hAnsi="Goudy Old Style"/>
          <w:vertAlign w:val="superscript"/>
        </w:rPr>
        <w:instrText>ADDIN CSL_CITATION {"citationItems":[{"id":"ITEM-1","itemData":{"DOI":"10.7326/M19-1696","ISSN":"15393704","PMID":"31525774","abstract":"Background: Administering antimicrobial agents before obtaining blood cultures could potentially decrease time to treatment and improve outcomes, but it is unclear how this strategy affects diagnostic sensitivity. Objective: To determine the sensitivity of blood cultures obtained shortly after initiation of antimicrobial therapy in patients with severe manifestations of sepsis. Design: Patient-level, single-group, diagnostic study. (ClinicalTrials.gov: NCT01867905). Setting: 7 emergency departments in North America. Participants: Adults with severe manifestations of sepsis, including systolic blood pressure less than 90 mm Hg or a serum lactate level of 4 mmol/L or more. Intervention: Blood cultures were obtained before and within 120 minutes after initiation of antimicrobial treatment. Measurements: Sensitivity of blood cultures obtained after initiation of antimicrobial therapy. Results: Of 3164 participants screened, 325 were included in the study (mean age, 65.6 years; 62.8% men) and had repeated blood cultures drawn after initiation of antimicrobial therapy (median time, 70 minutes [interquartile range, 50 to 110 minutes]). Preantimicrobial blood cultures were positive for 1 or more microbial pathogens in 102 of 325 (31.4%) patients. Postantimicrobial blood cultures were positive for 1 or more microbial pathogens in 63 of 325 (19.4%) patients. The absolute difference in the proportion of positive blood cultures between pre- and postantimicrobial testing was 12.0% (95% CI, 5.4% to 18.6%; P &lt; 0.001). Sensitivity of postantimicrobial culture was 52.9% (CI, 42.8% to 62.9%). When the results of other microbiological cultures were included, microbial pathogens were found in 69 of 102 (67.6% [CI, 57.7% to 76.6%]) patients. Limitation: Only a proportion of screened patients were recruited. Conclusion: Among patients with severe manifestations of sepsis, initiation of empirical antimicrobial therapy significantly reduces the sensitivity of blood cultures drawn shortly after treatment initiation. Primary Funding Source: Vancouver Coastal Health, St. Paul's Hospital Foundation Emergency Department Support Fund, the Fonds de recherche Santé-Québec, and the Maricopa Medical Foundation.","author":[{"dropping-particle":"","family":"Cheng","given":"Matthew P.","non-dropping-particle":"","parse-names":false,"suffix":""},{"dropping-particle":"","family":"Stenstrom","given":"Robert","non-dropping-particle":"","parse-names":false,"suffix":""},{"dropping-particle":"","family":"Paquette","given":"Katryn","non-dropping-particle":"","parse-names":false,"suffix":""},{"dropping-particle":"","family":"Stabler","given":"Sarah N.","non-dropping-particle":"","parse-names":false,"suffix":""},{"dropping-particle":"","family":"Akhter","given":"Murtaza","non-dropping-particle":"","parse-names":false,"suffix":""},{"dropping-particle":"","family":"Davidson","given":"Adam C.","non-dropping-particle":"","parse-names":false,"suffix":""},{"dropping-particle":"","family":"Gavric","given":"Marko","non-dropping-particle":"","parse-names":false,"suffix":""},{"dropping-particle":"","family":"Lawandi","given":"Alexander","non-dropping-particle":"","parse-names":false,"suffix":""},{"dropping-particle":"","family":"Jinah","given":"Rehman","non-dropping-particle":"","parse-names":false,"suffix":""},{"dropping-particle":"","family":"Saeed","given":"Zahid","non-dropping-particle":"","parse-names":false,"suffix":""},{"dropping-particle":"","family":"Demir","given":"Koray","non-dropping-particle":"","parse-names":false,"suffix":""},{"dropping-particle":"","family":"Huang","given":"Kelly","non-dropping-particle":"","parse-names":false,"suffix":""},{"dropping-particle":"","family":"Mahpour","given":"Amirali","non-dropping-particle":"","parse-names":false,"suffix":""},{"dropping-particle":"","family":"Shamatutu","given":"Chris","non-dropping-particle":"","parse-names":false,"suffix":""},{"dropping-particle":"","family":"Caya","given":"Chelsea","non-dropping-particle":"","parse-names":false,"suffix":""},{"dropping-particle":"","family":"Troquet","given":"Jean Marc","non-dropping-particle":"","parse-names":false,"suffix":""},{"dropping-particle":"","family":"Clark","given":"Greg","non-dropping-particle":"","parse-names":false,"suffix":""},{"dropping-particle":"","family":"Yansouni","given":"Cedric P.","non-dropping-particle":"","parse-names":false,"suffix":""},{"dropping-particle":"","family":"Sweet","given":"David","non-dropping-particle":"","parse-names":false,"suffix":""}],"container-title":"Annals of internal medicine","id":"ITEM-1","issue":"8","issued":{"date-parts":[["2019"]]},"page":"547-554","title":"Blood Culture Results Before and After Antimicrobial Administration in Patients With Severe Manifestations of Sepsis: A Diagnostic Study","type":"article-journal","volume":"171"},"uris":["http://www.mendeley.com/documents/?uuid=ae926a6b-4faf-4d46-851a-1a01645589a7"]}],"mendeley":{"formattedCitation":"(1)","plainTextFormattedCitation":"(1)","previouslyFormattedCitation":"(1)"},"properties":{"noteIndex":0},"schema":"https://github.com/citation-style-language/schema/raw/master/csl-citation.json"}</w:instrText>
      </w:r>
      <w:r w:rsidR="00CA7D51" w:rsidRPr="00422DDB">
        <w:rPr>
          <w:rFonts w:ascii="Goudy Old Style" w:hAnsi="Goudy Old Style"/>
          <w:vertAlign w:val="superscript"/>
        </w:rPr>
        <w:fldChar w:fldCharType="separate"/>
      </w:r>
      <w:r w:rsidR="00CA7D51" w:rsidRPr="00422DDB">
        <w:rPr>
          <w:rFonts w:ascii="Goudy Old Style" w:hAnsi="Goudy Old Style"/>
          <w:noProof/>
          <w:vertAlign w:val="superscript"/>
        </w:rPr>
        <w:t>1</w:t>
      </w:r>
      <w:r w:rsidR="00CA7D51" w:rsidRPr="00422DDB">
        <w:rPr>
          <w:rFonts w:ascii="Goudy Old Style" w:hAnsi="Goudy Old Style"/>
          <w:vertAlign w:val="superscript"/>
        </w:rPr>
        <w:fldChar w:fldCharType="end"/>
      </w:r>
      <w:r w:rsidR="00CA7D51" w:rsidRPr="00422DDB">
        <w:rPr>
          <w:rFonts w:ascii="Goudy Old Style" w:hAnsi="Goudy Old Style"/>
        </w:rPr>
        <w:t xml:space="preserve"> Rapid detection of sepsis can help in providing better management</w:t>
      </w:r>
      <w:r w:rsidR="00B46D7A" w:rsidRPr="00422DDB">
        <w:rPr>
          <w:rFonts w:ascii="Goudy Old Style" w:hAnsi="Goudy Old Style"/>
        </w:rPr>
        <w:t>.</w:t>
      </w:r>
      <w:r w:rsidR="00CA7D51" w:rsidRPr="00422DDB">
        <w:rPr>
          <w:rFonts w:ascii="Goudy Old Style" w:hAnsi="Goudy Old Style"/>
          <w:vertAlign w:val="superscript"/>
        </w:rPr>
        <w:fldChar w:fldCharType="begin" w:fldLock="1"/>
      </w:r>
      <w:r w:rsidR="001137C4" w:rsidRPr="00422DDB">
        <w:rPr>
          <w:rFonts w:ascii="Goudy Old Style" w:hAnsi="Goudy Old Style"/>
          <w:vertAlign w:val="superscript"/>
        </w:rPr>
        <w:instrText>ADDIN CSL_CITATION {"citationItems":[{"id":"ITEM-1","itemData":{"abstract":"Sepsis is a common condition with high morbidity and mortality. Although many patients may require critical care, this article considers the features of sepsis that are of most relevance to acute general physicians. Recently updated definitions of sepsis and septic shock have been proposed which better identify patients who are likely to have a poor outcome, and therefore give an opportunity to escalate care. Despite these advances, there is still no molecular signature able to diagnose sepsis. Pathogenesis is complex, with many immune and non-immune mediators involved. Four key areas are endothelial dysfunction, coagulation abnormalities, alterations in cell function and dysregulated cardiovascular responses. No specific therapy targeting the mediators of sepsis has yet proven effective. Prompt administration of appropriate antibiotics is of benefit, together with fluid resuscitation and oxygen.","author":[{"dropping-particle":"","family":"Evans","given":"Tom","non-dropping-particle":"","parse-names":false,"suffix":""}],"container-title":"CME INFECTIOUS DISEASES Clinical Medicine","id":"ITEM-1","issue":"6","issued":{"date-parts":[["2017"]]},"page":"146-155","title":"CMJv18n2-CMEEvans.indd","type":"article-journal","volume":"17"},"uris":["http://www.mendeley.com/documents/?uuid=b605ce5b-5e2a-4080-9854-3bb18bf7b823"]}],"mendeley":{"formattedCitation":"(9)","plainTextFormattedCitation":"(9)","previouslyFormattedCitation":"(9)"},"properties":{"noteIndex":0},"schema":"https://github.com/citation-style-language/schema/raw/master/csl-citation.json"}</w:instrText>
      </w:r>
      <w:r w:rsidR="00CA7D51" w:rsidRPr="00422DDB">
        <w:rPr>
          <w:rFonts w:ascii="Goudy Old Style" w:hAnsi="Goudy Old Style"/>
          <w:vertAlign w:val="superscript"/>
        </w:rPr>
        <w:fldChar w:fldCharType="separate"/>
      </w:r>
      <w:r w:rsidR="00B528C6" w:rsidRPr="00422DDB">
        <w:rPr>
          <w:rFonts w:ascii="Goudy Old Style" w:hAnsi="Goudy Old Style"/>
          <w:noProof/>
          <w:vertAlign w:val="superscript"/>
        </w:rPr>
        <w:t>9</w:t>
      </w:r>
      <w:r w:rsidR="00CA7D51" w:rsidRPr="00422DDB">
        <w:rPr>
          <w:rFonts w:ascii="Goudy Old Style" w:hAnsi="Goudy Old Style"/>
          <w:vertAlign w:val="superscript"/>
        </w:rPr>
        <w:fldChar w:fldCharType="end"/>
      </w:r>
      <w:r w:rsidR="00503777" w:rsidRPr="00422DDB">
        <w:rPr>
          <w:rFonts w:ascii="Goudy Old Style" w:hAnsi="Goudy Old Style"/>
        </w:rPr>
        <w:t xml:space="preserve"> Molecular detection has the potential to identify microorganisms and provide relevant antibiotic resistance information in less time than is currently required for blood </w:t>
      </w:r>
      <w:r w:rsidR="00CE07FD">
        <w:rPr>
          <w:rFonts w:ascii="Goudy Old Style" w:hAnsi="Goudy Old Style"/>
        </w:rPr>
        <w:t>culture</w:t>
      </w:r>
      <w:r w:rsidR="00503777" w:rsidRPr="00422DDB">
        <w:rPr>
          <w:rFonts w:ascii="Goudy Old Style" w:hAnsi="Goudy Old Style"/>
        </w:rPr>
        <w:t xml:space="preserve">s.  Tests using nucleic acid amplification technology (NAAT) rapidly makes copies of DNA or RNA derived from pathogens or host cells through biochemical reactions, amplifying nucleic acid sequences to detectable levels. The sequences are then used to identify the causative agent of infection or immune response. The use of NAAT for sepsis diagnosis is associated with challenges in reliably capturing and amplifying pathogen nucleic acids from complex samples such as blood, where the causative agent of infection is in low amounts or </w:t>
      </w:r>
      <w:r w:rsidR="00EE78E5">
        <w:rPr>
          <w:rFonts w:ascii="Goudy Old Style" w:hAnsi="Goudy Old Style"/>
        </w:rPr>
        <w:t>polymicrobial</w:t>
      </w:r>
      <w:r w:rsidR="00503777" w:rsidRPr="00422DDB">
        <w:rPr>
          <w:rFonts w:ascii="Goudy Old Style" w:hAnsi="Goudy Old Style"/>
        </w:rPr>
        <w:t xml:space="preserve"> in the human DNA</w:t>
      </w:r>
      <w:r w:rsidR="00B46D7A" w:rsidRPr="00422DDB">
        <w:rPr>
          <w:rFonts w:ascii="Goudy Old Style" w:hAnsi="Goudy Old Style"/>
        </w:rPr>
        <w:t>.</w:t>
      </w:r>
      <w:r w:rsidR="00503777" w:rsidRPr="00422DDB">
        <w:rPr>
          <w:rFonts w:ascii="Goudy Old Style" w:hAnsi="Goudy Old Style"/>
          <w:vertAlign w:val="superscript"/>
        </w:rPr>
        <w:fldChar w:fldCharType="begin" w:fldLock="1"/>
      </w:r>
      <w:r w:rsidR="00503777" w:rsidRPr="00422DDB">
        <w:rPr>
          <w:rFonts w:ascii="Goudy Old Style" w:hAnsi="Goudy Old Style"/>
          <w:vertAlign w:val="superscript"/>
        </w:rPr>
        <w:instrText>ADDIN CSL_CITATION {"citationItems":[{"id":"ITEM-1","itemData":{"author":[{"dropping-particle":"","family":"Sinha","given":"Mridu","non-dropping-particle":"","parse-names":false,"suffix":""},{"dropping-particle":"","family":"Jupe","given":"Julietta","non-dropping-particle":"","parse-names":false,"suffix":""},{"dropping-particle":"","family":"Mack","given":"Hannah","non-dropping-particle":"","parse-names":false,"suffix":""},{"dropping-particle":"","family":"Coleman","given":"Todd P","non-dropping-particle":"","parse-names":false,"suffix":""},{"dropping-particle":"","family":"Lawrence","given":"Shelley M","non-dropping-particle":"","parse-names":false,"suffix":""},{"dropping-particle":"","family":"Fraley","given":"I","non-dropping-particle":"","parse-names":false,"suffix":""}],"container-title":"Clinical Microbiology Reviews","id":"ITEM-1","issue":"2","issued":{"date-parts":[["2018"]]},"page":"1-26","title":"Emerging Technologies for Rapid Diagnosis of Microbial Infections Without","type":"article-journal","volume":"31"},"uris":["http://www.mendeley.com/documents/?uuid=15f047ac-75ea-4008-8d59-ff9f74898e66"]}],"mendeley":{"formattedCitation":"(10)","plainTextFormattedCitation":"(10)"},"properties":{"noteIndex":0},"schema":"https://github.com/citation-style-language/schema/raw/master/csl-citation.json"}</w:instrText>
      </w:r>
      <w:r w:rsidR="00503777" w:rsidRPr="00422DDB">
        <w:rPr>
          <w:rFonts w:ascii="Goudy Old Style" w:hAnsi="Goudy Old Style"/>
          <w:vertAlign w:val="superscript"/>
        </w:rPr>
        <w:fldChar w:fldCharType="separate"/>
      </w:r>
      <w:r w:rsidR="00503777" w:rsidRPr="00422DDB">
        <w:rPr>
          <w:rFonts w:ascii="Goudy Old Style" w:hAnsi="Goudy Old Style"/>
          <w:noProof/>
          <w:vertAlign w:val="superscript"/>
        </w:rPr>
        <w:t>10</w:t>
      </w:r>
      <w:r w:rsidR="00503777" w:rsidRPr="00422DDB">
        <w:rPr>
          <w:rFonts w:ascii="Goudy Old Style" w:hAnsi="Goudy Old Style"/>
          <w:vertAlign w:val="superscript"/>
        </w:rPr>
        <w:fldChar w:fldCharType="end"/>
      </w:r>
    </w:p>
    <w:bookmarkEnd w:id="1"/>
    <w:p w14:paraId="13C3F91F" w14:textId="714699F1" w:rsidR="00A14846" w:rsidRPr="00422DDB" w:rsidRDefault="00F25B77" w:rsidP="0004060E">
      <w:pPr>
        <w:spacing w:before="120" w:after="120" w:line="276" w:lineRule="auto"/>
        <w:jc w:val="both"/>
        <w:rPr>
          <w:rFonts w:ascii="Goudy Old Style" w:hAnsi="Goudy Old Style"/>
          <w:b/>
          <w:bCs/>
        </w:rPr>
      </w:pPr>
      <w:r w:rsidRPr="00422DDB">
        <w:rPr>
          <w:rFonts w:ascii="Goudy Old Style" w:hAnsi="Goudy Old Style"/>
          <w:b/>
          <w:bCs/>
        </w:rPr>
        <w:t>Methods</w:t>
      </w:r>
    </w:p>
    <w:p w14:paraId="6B5BA87D" w14:textId="6F98E765" w:rsidR="00E526C7" w:rsidRPr="00422DDB" w:rsidRDefault="00A14846" w:rsidP="0004060E">
      <w:pPr>
        <w:spacing w:line="276" w:lineRule="auto"/>
        <w:ind w:firstLine="567"/>
        <w:jc w:val="both"/>
        <w:rPr>
          <w:rFonts w:ascii="Goudy Old Style" w:hAnsi="Goudy Old Style"/>
        </w:rPr>
      </w:pPr>
      <w:r w:rsidRPr="00422DDB">
        <w:rPr>
          <w:rFonts w:ascii="Goudy Old Style" w:hAnsi="Goudy Old Style"/>
        </w:rPr>
        <w:t xml:space="preserve">This study was conducted using the descriptive observational method with a cross-sectional approach using primary data. This study aims to determine the positive blood </w:t>
      </w:r>
      <w:r w:rsidR="00CE07FD">
        <w:rPr>
          <w:rFonts w:ascii="Goudy Old Style" w:hAnsi="Goudy Old Style"/>
        </w:rPr>
        <w:t>culture</w:t>
      </w:r>
      <w:r w:rsidRPr="00422DDB">
        <w:rPr>
          <w:rFonts w:ascii="Goudy Old Style" w:hAnsi="Goudy Old Style"/>
        </w:rPr>
        <w:t>s identified by the BacT/Alert automatic</w:t>
      </w:r>
      <w:r w:rsidR="00362DB2" w:rsidRPr="00422DDB">
        <w:rPr>
          <w:rStyle w:val="CommentReference"/>
          <w:rFonts w:ascii="Goudy Old Style" w:hAnsi="Goudy Old Style"/>
          <w:sz w:val="24"/>
          <w:szCs w:val="24"/>
        </w:rPr>
        <w:t xml:space="preserve"> (b</w:t>
      </w:r>
      <w:r w:rsidR="00362DB2" w:rsidRPr="00422DDB">
        <w:rPr>
          <w:rFonts w:ascii="Goudy Old Style" w:hAnsi="Goudy Old Style"/>
          <w14:ligatures w14:val="none"/>
        </w:rPr>
        <w:t xml:space="preserve">ioMérieux, Marcy-I’Étoile, France) </w:t>
      </w:r>
      <w:r w:rsidRPr="00422DDB">
        <w:rPr>
          <w:rFonts w:ascii="Goudy Old Style" w:hAnsi="Goudy Old Style"/>
        </w:rPr>
        <w:t>detection method in sepsis patients treated at Hasanuddin University Hospital Makassar. Identification of microorganisms causing bloodstream infections was carried out at the Microbiology Laboratory of</w:t>
      </w:r>
      <w:r w:rsidR="00362DB2" w:rsidRPr="00422DDB">
        <w:rPr>
          <w:rFonts w:ascii="Goudy Old Style" w:hAnsi="Goudy Old Style"/>
        </w:rPr>
        <w:t xml:space="preserve"> </w:t>
      </w:r>
      <w:r w:rsidRPr="00422DDB">
        <w:rPr>
          <w:rFonts w:ascii="Goudy Old Style" w:hAnsi="Goudy Old Style"/>
        </w:rPr>
        <w:t>Hasanuddin University</w:t>
      </w:r>
      <w:r w:rsidR="00FB60AB" w:rsidRPr="00422DDB">
        <w:rPr>
          <w:rFonts w:ascii="Goudy Old Style" w:hAnsi="Goudy Old Style"/>
        </w:rPr>
        <w:t xml:space="preserve"> Hospital</w:t>
      </w:r>
      <w:r w:rsidRPr="00422DDB">
        <w:rPr>
          <w:rFonts w:ascii="Goudy Old Style" w:hAnsi="Goudy Old Style"/>
        </w:rPr>
        <w:t xml:space="preserve"> Makassar. </w:t>
      </w:r>
      <w:r w:rsidR="00CA7D51" w:rsidRPr="00422DDB">
        <w:rPr>
          <w:rFonts w:ascii="Goudy Old Style" w:hAnsi="Goudy Old Style"/>
        </w:rPr>
        <w:t xml:space="preserve"> </w:t>
      </w:r>
    </w:p>
    <w:p w14:paraId="6EFBDD81" w14:textId="77777777" w:rsidR="000C40AD" w:rsidRPr="00422DDB" w:rsidRDefault="00A14846" w:rsidP="0004060E">
      <w:pPr>
        <w:spacing w:line="276" w:lineRule="auto"/>
        <w:ind w:firstLine="567"/>
        <w:jc w:val="both"/>
        <w:rPr>
          <w:rFonts w:ascii="Goudy Old Style" w:hAnsi="Goudy Old Style"/>
        </w:rPr>
      </w:pPr>
      <w:r w:rsidRPr="00422DDB">
        <w:rPr>
          <w:rFonts w:ascii="Goudy Old Style" w:hAnsi="Goudy Old Style"/>
        </w:rPr>
        <w:lastRenderedPageBreak/>
        <w:t xml:space="preserve">This study was approved by the Health Research Ethics Committee of Hasanuddin University </w:t>
      </w:r>
      <w:r w:rsidRPr="00422DDB">
        <w:rPr>
          <w:rFonts w:ascii="Goudy Old Style" w:hAnsi="Goudy Old Style"/>
          <w:noProof/>
          <w:color w:val="000000"/>
          <w:lang w:val="en-US"/>
        </w:rPr>
        <w:t xml:space="preserve">with protocol number </w:t>
      </w:r>
      <w:r w:rsidRPr="00422DDB">
        <w:rPr>
          <w:rFonts w:ascii="Goudy Old Style" w:hAnsi="Goudy Old Style"/>
        </w:rPr>
        <w:t xml:space="preserve">uH22070400 </w:t>
      </w:r>
      <w:r w:rsidRPr="00422DDB">
        <w:rPr>
          <w:rFonts w:ascii="Goudy Old Style" w:hAnsi="Goudy Old Style"/>
          <w:noProof/>
          <w:color w:val="000000"/>
          <w:lang w:val="en-US"/>
        </w:rPr>
        <w:t xml:space="preserve">and letter number </w:t>
      </w:r>
      <w:r w:rsidRPr="00422DDB">
        <w:rPr>
          <w:rFonts w:ascii="Goudy Old Style" w:hAnsi="Goudy Old Style"/>
        </w:rPr>
        <w:t>775/UN4.6.4.5.31/PP36/2022.</w:t>
      </w:r>
      <w:bookmarkStart w:id="2" w:name="_Hlk136873008"/>
      <w:r w:rsidRPr="00422DDB">
        <w:rPr>
          <w:rFonts w:ascii="Goudy Old Style" w:hAnsi="Goudy Old Style"/>
        </w:rPr>
        <w:t xml:space="preserve"> </w:t>
      </w:r>
      <w:r w:rsidR="00362DB2" w:rsidRPr="00422DDB">
        <w:rPr>
          <w:rFonts w:ascii="Goudy Old Style" w:hAnsi="Goudy Old Style"/>
        </w:rPr>
        <w:t>Data from medical record</w:t>
      </w:r>
      <w:r w:rsidRPr="00422DDB">
        <w:rPr>
          <w:rFonts w:ascii="Goudy Old Style" w:hAnsi="Goudy Old Style"/>
          <w:lang w:val="id-ID"/>
        </w:rPr>
        <w:t xml:space="preserve"> </w:t>
      </w:r>
      <w:r w:rsidRPr="00422DDB">
        <w:rPr>
          <w:rFonts w:ascii="Goudy Old Style" w:hAnsi="Goudy Old Style"/>
        </w:rPr>
        <w:t xml:space="preserve">has been processed in descriptive statistics were utilized to summarize patient demographics, treatments, and outcomes. The mean, frequency </w:t>
      </w:r>
      <w:r w:rsidRPr="00422DDB">
        <w:rPr>
          <w:rFonts w:ascii="Goudy Old Style" w:hAnsi="Goudy Old Style"/>
          <w:lang w:val="id-ID"/>
        </w:rPr>
        <w:t>distribution</w:t>
      </w:r>
      <w:r w:rsidRPr="00422DDB">
        <w:rPr>
          <w:rFonts w:ascii="Goudy Old Style" w:hAnsi="Goudy Old Style"/>
        </w:rPr>
        <w:t xml:space="preserve">, and percentage were calculated for categorical variables. Analysis was conducted using the </w:t>
      </w:r>
      <w:bookmarkEnd w:id="2"/>
      <w:r w:rsidRPr="00422DDB">
        <w:rPr>
          <w:rFonts w:ascii="Goudy Old Style" w:hAnsi="Goudy Old Style"/>
        </w:rPr>
        <w:t xml:space="preserve">IBM® SPSS Statistics 22 </w:t>
      </w:r>
      <w:r w:rsidRPr="00422DDB">
        <w:rPr>
          <w:rFonts w:ascii="Goudy Old Style" w:hAnsi="Goudy Old Style"/>
          <w:shd w:val="clear" w:color="auto" w:fill="FFFFFF"/>
        </w:rPr>
        <w:t>(IBM Corp., New York, NY, USA)</w:t>
      </w:r>
      <w:r w:rsidRPr="00422DDB">
        <w:rPr>
          <w:rFonts w:ascii="Goudy Old Style" w:hAnsi="Goudy Old Style"/>
        </w:rPr>
        <w:t xml:space="preserve">. </w:t>
      </w:r>
    </w:p>
    <w:p w14:paraId="50305265" w14:textId="7C313A2E" w:rsidR="000C40AD" w:rsidRPr="00EE78E5" w:rsidRDefault="00A14846" w:rsidP="0004060E">
      <w:pPr>
        <w:spacing w:line="276" w:lineRule="auto"/>
        <w:ind w:firstLine="567"/>
        <w:jc w:val="both"/>
        <w:rPr>
          <w:rFonts w:ascii="Goudy Old Style" w:hAnsi="Goudy Old Style"/>
          <w:lang w:val="id-ID"/>
        </w:rPr>
      </w:pPr>
      <w:r w:rsidRPr="00CC6CCC">
        <w:rPr>
          <w:rFonts w:ascii="Goudy Old Style" w:hAnsi="Goudy Old Style"/>
        </w:rPr>
        <w:t xml:space="preserve">Adult patients (≥19 years old), </w:t>
      </w:r>
      <w:r w:rsidR="00362DB2" w:rsidRPr="00CC6CCC">
        <w:rPr>
          <w:rFonts w:ascii="Goudy Old Style" w:hAnsi="Goudy Old Style"/>
        </w:rPr>
        <w:t xml:space="preserve">Quick Sequential Organ Failure Assessment (qSOFA)/ SOFA score screening in suspected sepsis for consideration of </w:t>
      </w:r>
      <w:r w:rsidR="00CE07FD">
        <w:rPr>
          <w:rFonts w:ascii="Goudy Old Style" w:hAnsi="Goudy Old Style"/>
        </w:rPr>
        <w:t>culture</w:t>
      </w:r>
      <w:r w:rsidR="00362DB2" w:rsidRPr="00CC6CCC">
        <w:rPr>
          <w:rFonts w:ascii="Goudy Old Style" w:hAnsi="Goudy Old Style"/>
        </w:rPr>
        <w:t xml:space="preserve"> collection. </w:t>
      </w:r>
      <w:r w:rsidR="00551AA8" w:rsidRPr="00CC6CCC">
        <w:rPr>
          <w:rFonts w:ascii="Goudy Old Style" w:hAnsi="Goudy Old Style"/>
        </w:rPr>
        <w:t xml:space="preserve">Initial qSOFA assessment with a score of 2 is at high risk for sepsis, </w:t>
      </w:r>
      <w:r w:rsidR="00FB60AB" w:rsidRPr="00CC6CCC">
        <w:rPr>
          <w:rFonts w:ascii="Goudy Old Style" w:hAnsi="Goudy Old Style"/>
        </w:rPr>
        <w:t xml:space="preserve">qSOFA criteria: 1) Respiratory rate ≥22/min, 2) Glasgow Coma Scale &lt;15, and 3) Systolic blood pressure ≤100 mmHg. </w:t>
      </w:r>
      <w:r w:rsidR="00EE78E5" w:rsidRPr="00EE78E5">
        <w:rPr>
          <w:rFonts w:ascii="Goudy Old Style" w:hAnsi="Goudy Old Style"/>
        </w:rPr>
        <w:t>SOFA score includes the respiratory system, coagulation system, liver function, cardiovascular system, central nervous system, and renal function</w:t>
      </w:r>
      <w:r w:rsidR="00FB60AB" w:rsidRPr="00CC6CCC">
        <w:rPr>
          <w:rFonts w:ascii="Goudy Old Style" w:hAnsi="Goudy Old Style"/>
        </w:rPr>
        <w:t xml:space="preserve">. </w:t>
      </w:r>
      <w:r w:rsidR="00EE78E5" w:rsidRPr="00EE78E5">
        <w:rPr>
          <w:rFonts w:ascii="Goudy Old Style" w:hAnsi="Goudy Old Style"/>
        </w:rPr>
        <w:t>Scores ranged from 0 to 24 points, with a score of 7 points meaning organ dysfunction</w:t>
      </w:r>
      <w:r w:rsidR="00FB60AB" w:rsidRPr="00CC6CCC">
        <w:rPr>
          <w:rFonts w:ascii="Goudy Old Style" w:hAnsi="Goudy Old Style"/>
        </w:rPr>
        <w:t>.</w:t>
      </w:r>
      <w:r w:rsidR="00503777" w:rsidRPr="00CC6CCC">
        <w:rPr>
          <w:rFonts w:ascii="Goudy Old Style" w:hAnsi="Goudy Old Style"/>
        </w:rPr>
        <w:t xml:space="preserve"> </w:t>
      </w:r>
      <w:r w:rsidR="00EE78E5" w:rsidRPr="00EE78E5">
        <w:rPr>
          <w:rFonts w:ascii="Goudy Old Style" w:hAnsi="Goudy Old Style"/>
        </w:rPr>
        <w:t>Ninety-eight adult patients attended the Hasanuddin University Hospital, Makassar, during the period from January 2022 to August 2023</w:t>
      </w:r>
      <w:r w:rsidR="00EE78E5">
        <w:rPr>
          <w:rFonts w:ascii="Goudy Old Style" w:hAnsi="Goudy Old Style"/>
          <w:lang w:val="id-ID"/>
        </w:rPr>
        <w:t>.</w:t>
      </w:r>
    </w:p>
    <w:p w14:paraId="76A1B012" w14:textId="2178F7FC" w:rsidR="00C24186" w:rsidRPr="00422DDB" w:rsidRDefault="0003070E" w:rsidP="0004060E">
      <w:pPr>
        <w:spacing w:line="276" w:lineRule="auto"/>
        <w:ind w:firstLine="567"/>
        <w:jc w:val="both"/>
        <w:rPr>
          <w:rFonts w:ascii="Goudy Old Style" w:hAnsi="Goudy Old Style"/>
        </w:rPr>
      </w:pPr>
      <w:r w:rsidRPr="00422DDB">
        <w:rPr>
          <w:rFonts w:ascii="Goudy Old Style" w:hAnsi="Goudy Old Style"/>
        </w:rPr>
        <w:t xml:space="preserve">Blood </w:t>
      </w:r>
      <w:r w:rsidR="00CE07FD">
        <w:rPr>
          <w:rFonts w:ascii="Goudy Old Style" w:hAnsi="Goudy Old Style"/>
        </w:rPr>
        <w:t>culture</w:t>
      </w:r>
      <w:r w:rsidRPr="00422DDB">
        <w:rPr>
          <w:rFonts w:ascii="Goudy Old Style" w:hAnsi="Goudy Old Style"/>
        </w:rPr>
        <w:t xml:space="preserve">s were collected from two peripheral sites. The collection area was disinfected with 70% isopropyl alcohol </w:t>
      </w:r>
      <w:r w:rsidR="00EE78E5">
        <w:rPr>
          <w:rFonts w:ascii="Goudy Old Style" w:hAnsi="Goudy Old Style"/>
          <w:lang w:val="id-ID"/>
        </w:rPr>
        <w:t>before</w:t>
      </w:r>
      <w:r w:rsidRPr="00422DDB">
        <w:rPr>
          <w:rFonts w:ascii="Goudy Old Style" w:hAnsi="Goudy Old Style"/>
        </w:rPr>
        <w:t xml:space="preserve"> blood collection. </w:t>
      </w:r>
      <w:r w:rsidR="005B3010" w:rsidRPr="00422DDB">
        <w:rPr>
          <w:rFonts w:ascii="Goudy Old Style" w:hAnsi="Goudy Old Style"/>
        </w:rPr>
        <w:t xml:space="preserve">8-10 mL of blood was drawn and inoculated into BacT/ALERT® aerobic </w:t>
      </w:r>
      <w:r w:rsidR="00CE07FD">
        <w:rPr>
          <w:rFonts w:ascii="Goudy Old Style" w:hAnsi="Goudy Old Style"/>
        </w:rPr>
        <w:t>culture</w:t>
      </w:r>
      <w:r w:rsidR="005B3010" w:rsidRPr="00422DDB">
        <w:rPr>
          <w:rFonts w:ascii="Goudy Old Style" w:hAnsi="Goudy Old Style"/>
        </w:rPr>
        <w:t xml:space="preserve"> bottles (bioMérieux</w:t>
      </w:r>
      <w:r w:rsidR="000B4127" w:rsidRPr="00422DDB">
        <w:rPr>
          <w:rFonts w:ascii="Goudy Old Style" w:hAnsi="Goudy Old Style"/>
        </w:rPr>
        <w:t xml:space="preserve">, </w:t>
      </w:r>
      <w:r w:rsidR="009D62D0" w:rsidRPr="00422DDB">
        <w:rPr>
          <w:rFonts w:ascii="Goudy Old Style" w:hAnsi="Goudy Old Style"/>
        </w:rPr>
        <w:t xml:space="preserve">Marcy-I’Étoile, </w:t>
      </w:r>
      <w:r w:rsidR="000B4127" w:rsidRPr="00422DDB">
        <w:rPr>
          <w:rFonts w:ascii="Goudy Old Style" w:hAnsi="Goudy Old Style"/>
        </w:rPr>
        <w:t>France</w:t>
      </w:r>
      <w:r w:rsidR="005B3010" w:rsidRPr="00422DDB">
        <w:rPr>
          <w:rFonts w:ascii="Goudy Old Style" w:hAnsi="Goudy Old Style"/>
        </w:rPr>
        <w:t>)</w:t>
      </w:r>
      <w:r w:rsidRPr="00422DDB">
        <w:rPr>
          <w:rFonts w:ascii="Goudy Old Style" w:hAnsi="Goudy Old Style"/>
        </w:rPr>
        <w:t>. After blood collection, the sample is immediately taken to the laboratory and</w:t>
      </w:r>
      <w:r w:rsidR="00C24186" w:rsidRPr="00422DDB">
        <w:rPr>
          <w:rFonts w:ascii="Goudy Old Style" w:hAnsi="Goudy Old Style"/>
        </w:rPr>
        <w:t xml:space="preserve"> incubated in an automated BacT/ALERT® system. </w:t>
      </w:r>
      <w:r w:rsidR="005B3010" w:rsidRPr="00422DDB">
        <w:rPr>
          <w:rFonts w:ascii="Goudy Old Style" w:hAnsi="Goudy Old Style"/>
        </w:rPr>
        <w:t xml:space="preserve">Positive blood </w:t>
      </w:r>
      <w:r w:rsidR="00CE07FD">
        <w:rPr>
          <w:rFonts w:ascii="Goudy Old Style" w:hAnsi="Goudy Old Style"/>
        </w:rPr>
        <w:t>culture</w:t>
      </w:r>
      <w:r w:rsidR="005B3010" w:rsidRPr="00422DDB">
        <w:rPr>
          <w:rFonts w:ascii="Goudy Old Style" w:hAnsi="Goudy Old Style"/>
        </w:rPr>
        <w:t>s were Gram</w:t>
      </w:r>
      <w:r w:rsidR="00EE78E5">
        <w:rPr>
          <w:rFonts w:ascii="Goudy Old Style" w:hAnsi="Goudy Old Style"/>
          <w:lang w:val="id-ID"/>
        </w:rPr>
        <w:t>-</w:t>
      </w:r>
      <w:r w:rsidR="005B3010" w:rsidRPr="00422DDB">
        <w:rPr>
          <w:rFonts w:ascii="Goudy Old Style" w:hAnsi="Goudy Old Style"/>
        </w:rPr>
        <w:t>stained</w:t>
      </w:r>
      <w:r w:rsidR="00CA7D51" w:rsidRPr="00422DDB">
        <w:rPr>
          <w:rFonts w:ascii="Goudy Old Style" w:hAnsi="Goudy Old Style"/>
        </w:rPr>
        <w:t>. Gram stain usually takes less time, and ideally</w:t>
      </w:r>
      <w:r w:rsidR="00EE78E5">
        <w:rPr>
          <w:rFonts w:ascii="Goudy Old Style" w:hAnsi="Goudy Old Style"/>
          <w:lang w:val="id-ID"/>
        </w:rPr>
        <w:t xml:space="preserve">, </w:t>
      </w:r>
      <w:r w:rsidR="00CA7D51" w:rsidRPr="00422DDB">
        <w:rPr>
          <w:rFonts w:ascii="Goudy Old Style" w:hAnsi="Goudy Old Style"/>
        </w:rPr>
        <w:t xml:space="preserve">the Gram stain results should be communicated to the doctor in a timely manner. Positive blood </w:t>
      </w:r>
      <w:r w:rsidR="00CE07FD">
        <w:rPr>
          <w:rFonts w:ascii="Goudy Old Style" w:hAnsi="Goudy Old Style"/>
        </w:rPr>
        <w:t>culture</w:t>
      </w:r>
      <w:r w:rsidR="005B3010" w:rsidRPr="00422DDB">
        <w:rPr>
          <w:rFonts w:ascii="Goudy Old Style" w:hAnsi="Goudy Old Style"/>
        </w:rPr>
        <w:t xml:space="preserve"> </w:t>
      </w:r>
      <w:r w:rsidR="00EE78E5">
        <w:rPr>
          <w:rFonts w:ascii="Goudy Old Style" w:hAnsi="Goudy Old Style"/>
          <w:lang w:val="id-ID"/>
        </w:rPr>
        <w:t xml:space="preserve">were </w:t>
      </w:r>
      <w:r w:rsidR="005B3010" w:rsidRPr="00422DDB">
        <w:rPr>
          <w:rFonts w:ascii="Goudy Old Style" w:hAnsi="Goudy Old Style"/>
        </w:rPr>
        <w:t>inoculated onto Blood Agar, Chocolate agar and MacConkey media. Identified using the Vitek® 2 ID system (bioMérieux</w:t>
      </w:r>
      <w:r w:rsidR="000B4127" w:rsidRPr="00422DDB">
        <w:rPr>
          <w:rFonts w:ascii="Goudy Old Style" w:hAnsi="Goudy Old Style"/>
        </w:rPr>
        <w:t>,</w:t>
      </w:r>
      <w:r w:rsidR="009D62D0" w:rsidRPr="00422DDB">
        <w:rPr>
          <w:rFonts w:ascii="Goudy Old Style" w:hAnsi="Goudy Old Style"/>
        </w:rPr>
        <w:t xml:space="preserve"> Marcy-I’Étoile, </w:t>
      </w:r>
      <w:r w:rsidR="000B4127" w:rsidRPr="00422DDB">
        <w:rPr>
          <w:rFonts w:ascii="Goudy Old Style" w:hAnsi="Goudy Old Style"/>
        </w:rPr>
        <w:t>France</w:t>
      </w:r>
      <w:r w:rsidR="005B3010" w:rsidRPr="00422DDB">
        <w:rPr>
          <w:rFonts w:ascii="Goudy Old Style" w:hAnsi="Goudy Old Style"/>
        </w:rPr>
        <w:t>).</w:t>
      </w:r>
    </w:p>
    <w:p w14:paraId="56453DA6" w14:textId="7CE70BB5" w:rsidR="00F25B77" w:rsidRPr="00422DDB" w:rsidRDefault="00F25B77" w:rsidP="0004060E">
      <w:pPr>
        <w:spacing w:before="120" w:after="120" w:line="276" w:lineRule="auto"/>
        <w:jc w:val="both"/>
        <w:outlineLvl w:val="0"/>
        <w:rPr>
          <w:rFonts w:ascii="Goudy Old Style" w:hAnsi="Goudy Old Style"/>
          <w:b/>
          <w:bCs/>
        </w:rPr>
      </w:pPr>
      <w:r w:rsidRPr="00422DDB">
        <w:rPr>
          <w:rFonts w:ascii="Goudy Old Style" w:hAnsi="Goudy Old Style"/>
          <w:b/>
          <w:bCs/>
        </w:rPr>
        <w:t>Results</w:t>
      </w:r>
    </w:p>
    <w:p w14:paraId="2E2369CA" w14:textId="5AD4B12B" w:rsidR="00BC33B5" w:rsidRPr="00422DDB" w:rsidRDefault="007C0658" w:rsidP="0004060E">
      <w:pPr>
        <w:spacing w:line="276" w:lineRule="auto"/>
        <w:ind w:firstLine="567"/>
        <w:jc w:val="both"/>
        <w:rPr>
          <w:rFonts w:ascii="Goudy Old Style" w:hAnsi="Goudy Old Style"/>
        </w:rPr>
      </w:pPr>
      <w:r w:rsidRPr="00422DDB">
        <w:rPr>
          <w:rFonts w:ascii="Goudy Old Style" w:hAnsi="Goudy Old Style"/>
        </w:rPr>
        <w:t xml:space="preserve">Data were collected </w:t>
      </w:r>
      <w:r w:rsidR="00652131" w:rsidRPr="00422DDB">
        <w:rPr>
          <w:rFonts w:ascii="Goudy Old Style" w:hAnsi="Goudy Old Style"/>
        </w:rPr>
        <w:t>from</w:t>
      </w:r>
      <w:r w:rsidRPr="00422DDB">
        <w:rPr>
          <w:rFonts w:ascii="Goudy Old Style" w:hAnsi="Goudy Old Style"/>
        </w:rPr>
        <w:t xml:space="preserve"> </w:t>
      </w:r>
      <w:r w:rsidR="004F4BA8" w:rsidRPr="00422DDB">
        <w:rPr>
          <w:rFonts w:ascii="Goudy Old Style" w:hAnsi="Goudy Old Style"/>
        </w:rPr>
        <w:t>98</w:t>
      </w:r>
      <w:r w:rsidRPr="00422DDB">
        <w:rPr>
          <w:rFonts w:ascii="Goudy Old Style" w:hAnsi="Goudy Old Style"/>
        </w:rPr>
        <w:t xml:space="preserve"> patients</w:t>
      </w:r>
      <w:r w:rsidR="00916E11" w:rsidRPr="00422DDB">
        <w:rPr>
          <w:rFonts w:ascii="Goudy Old Style" w:hAnsi="Goudy Old Style"/>
        </w:rPr>
        <w:t>;</w:t>
      </w:r>
      <w:r w:rsidR="00F25B77" w:rsidRPr="00422DDB">
        <w:rPr>
          <w:rFonts w:ascii="Goudy Old Style" w:hAnsi="Goudy Old Style"/>
        </w:rPr>
        <w:t xml:space="preserve"> </w:t>
      </w:r>
      <w:r w:rsidR="006A30CC" w:rsidRPr="00422DDB">
        <w:rPr>
          <w:rFonts w:ascii="Goudy Old Style" w:hAnsi="Goudy Old Style"/>
        </w:rPr>
        <w:t xml:space="preserve">the </w:t>
      </w:r>
      <w:r w:rsidR="00F25B77" w:rsidRPr="00422DDB">
        <w:rPr>
          <w:rFonts w:ascii="Goudy Old Style" w:hAnsi="Goudy Old Style"/>
        </w:rPr>
        <w:t xml:space="preserve">percentage of female patients </w:t>
      </w:r>
      <w:r w:rsidR="00652131" w:rsidRPr="00422DDB">
        <w:rPr>
          <w:rFonts w:ascii="Goudy Old Style" w:hAnsi="Goudy Old Style"/>
        </w:rPr>
        <w:t>was</w:t>
      </w:r>
      <w:r w:rsidR="00F25B77" w:rsidRPr="00422DDB">
        <w:rPr>
          <w:rFonts w:ascii="Goudy Old Style" w:hAnsi="Goudy Old Style"/>
        </w:rPr>
        <w:t xml:space="preserve"> 5</w:t>
      </w:r>
      <w:r w:rsidR="004F4BA8" w:rsidRPr="00422DDB">
        <w:rPr>
          <w:rFonts w:ascii="Goudy Old Style" w:hAnsi="Goudy Old Style"/>
        </w:rPr>
        <w:t>1</w:t>
      </w:r>
      <w:r w:rsidR="00F25B77" w:rsidRPr="00422DDB">
        <w:rPr>
          <w:rFonts w:ascii="Goudy Old Style" w:hAnsi="Goudy Old Style"/>
        </w:rPr>
        <w:t>.</w:t>
      </w:r>
      <w:r w:rsidR="004F4BA8" w:rsidRPr="00422DDB">
        <w:rPr>
          <w:rFonts w:ascii="Goudy Old Style" w:hAnsi="Goudy Old Style"/>
        </w:rPr>
        <w:t>0</w:t>
      </w:r>
      <w:r w:rsidR="00F25B77" w:rsidRPr="00422DDB">
        <w:rPr>
          <w:rFonts w:ascii="Goudy Old Style" w:hAnsi="Goudy Old Style"/>
        </w:rPr>
        <w:t xml:space="preserve">%. </w:t>
      </w:r>
      <w:r w:rsidR="00EE78E5" w:rsidRPr="00EE78E5">
        <w:rPr>
          <w:rFonts w:ascii="Goudy Old Style" w:hAnsi="Goudy Old Style"/>
        </w:rPr>
        <w:t>Most patients were treated in the ward (59.18%)</w:t>
      </w:r>
      <w:r w:rsidR="00F25B77" w:rsidRPr="00422DDB">
        <w:rPr>
          <w:rFonts w:ascii="Goudy Old Style" w:hAnsi="Goudy Old Style"/>
        </w:rPr>
        <w:t>.</w:t>
      </w:r>
      <w:r w:rsidR="004F4BA8" w:rsidRPr="00422DDB">
        <w:rPr>
          <w:rFonts w:ascii="Goudy Old Style" w:hAnsi="Goudy Old Style"/>
        </w:rPr>
        <w:t xml:space="preserve"> </w:t>
      </w:r>
      <w:r w:rsidR="005B3010" w:rsidRPr="00422DDB">
        <w:rPr>
          <w:rFonts w:ascii="Goudy Old Style" w:hAnsi="Goudy Old Style"/>
        </w:rPr>
        <w:t>Based on this study, the elderly group had the highest percentage (7</w:t>
      </w:r>
      <w:r w:rsidR="0003070E" w:rsidRPr="00422DDB">
        <w:rPr>
          <w:rFonts w:ascii="Goudy Old Style" w:hAnsi="Goudy Old Style"/>
        </w:rPr>
        <w:t>6.5</w:t>
      </w:r>
      <w:r w:rsidR="005B3010" w:rsidRPr="00422DDB">
        <w:rPr>
          <w:rFonts w:ascii="Goudy Old Style" w:hAnsi="Goudy Old Style"/>
        </w:rPr>
        <w:t>%).</w:t>
      </w:r>
      <w:r w:rsidR="00551AA8" w:rsidRPr="00422DDB">
        <w:rPr>
          <w:rFonts w:ascii="Goudy Old Style" w:hAnsi="Goudy Old Style"/>
        </w:rPr>
        <w:t xml:space="preserve"> </w:t>
      </w:r>
      <w:r w:rsidR="005B3010" w:rsidRPr="00422DDB">
        <w:rPr>
          <w:rFonts w:ascii="Goudy Old Style" w:hAnsi="Goudy Old Style"/>
        </w:rPr>
        <w:t xml:space="preserve">Positive blood </w:t>
      </w:r>
      <w:r w:rsidR="00CE07FD">
        <w:rPr>
          <w:rFonts w:ascii="Goudy Old Style" w:hAnsi="Goudy Old Style"/>
        </w:rPr>
        <w:t>culture</w:t>
      </w:r>
      <w:r w:rsidR="005B3010" w:rsidRPr="00422DDB">
        <w:rPr>
          <w:rFonts w:ascii="Goudy Old Style" w:hAnsi="Goudy Old Style"/>
        </w:rPr>
        <w:t>s were found in 13.2% of patients</w:t>
      </w:r>
      <w:r w:rsidR="00CE07FD">
        <w:rPr>
          <w:rFonts w:ascii="Goudy Old Style" w:hAnsi="Goudy Old Style"/>
          <w:lang w:val="id-ID"/>
        </w:rPr>
        <w:t xml:space="preserve">, </w:t>
      </w:r>
      <w:r w:rsidR="00551AA8" w:rsidRPr="00422DDB">
        <w:rPr>
          <w:rFonts w:ascii="Goudy Old Style" w:hAnsi="Goudy Old Style"/>
        </w:rPr>
        <w:t>as shown in Table 1</w:t>
      </w:r>
      <w:r w:rsidR="005B3010" w:rsidRPr="00422DDB">
        <w:rPr>
          <w:rFonts w:ascii="Goudy Old Style" w:hAnsi="Goudy Old Style"/>
        </w:rPr>
        <w:t>.</w:t>
      </w:r>
    </w:p>
    <w:p w14:paraId="4C41FBE8" w14:textId="6298637D" w:rsidR="00E526C7" w:rsidRPr="00422DDB" w:rsidRDefault="00EB4486" w:rsidP="0004060E">
      <w:pPr>
        <w:spacing w:line="276" w:lineRule="auto"/>
        <w:ind w:firstLine="567"/>
        <w:jc w:val="both"/>
        <w:rPr>
          <w:rFonts w:ascii="Goudy Old Style" w:hAnsi="Goudy Old Style"/>
        </w:rPr>
      </w:pPr>
      <w:r w:rsidRPr="00422DDB">
        <w:rPr>
          <w:rFonts w:ascii="Goudy Old Style" w:hAnsi="Goudy Old Style"/>
        </w:rPr>
        <w:t xml:space="preserve">The results of this study showed that most of the blood </w:t>
      </w:r>
      <w:r w:rsidR="00CE07FD">
        <w:rPr>
          <w:rFonts w:ascii="Goudy Old Style" w:hAnsi="Goudy Old Style"/>
        </w:rPr>
        <w:t>culture</w:t>
      </w:r>
      <w:r w:rsidRPr="00422DDB">
        <w:rPr>
          <w:rFonts w:ascii="Goudy Old Style" w:hAnsi="Goudy Old Style"/>
        </w:rPr>
        <w:t xml:space="preserve">s were negative in 85 patients (86.7%). </w:t>
      </w:r>
      <w:r w:rsidR="0003070E" w:rsidRPr="00422DDB">
        <w:rPr>
          <w:rFonts w:ascii="Goudy Old Style" w:hAnsi="Goudy Old Style"/>
        </w:rPr>
        <w:t>Seven</w:t>
      </w:r>
      <w:r w:rsidR="00C90FE0" w:rsidRPr="00422DDB">
        <w:rPr>
          <w:rFonts w:ascii="Goudy Old Style" w:hAnsi="Goudy Old Style"/>
        </w:rPr>
        <w:t xml:space="preserve"> blood </w:t>
      </w:r>
      <w:r w:rsidR="00CE07FD">
        <w:rPr>
          <w:rFonts w:ascii="Goudy Old Style" w:hAnsi="Goudy Old Style"/>
        </w:rPr>
        <w:t>culture</w:t>
      </w:r>
      <w:r w:rsidR="00C90FE0" w:rsidRPr="00422DDB">
        <w:rPr>
          <w:rFonts w:ascii="Goudy Old Style" w:hAnsi="Goudy Old Style"/>
        </w:rPr>
        <w:t>s were positive for Gram-positive bacteria (</w:t>
      </w:r>
      <w:r w:rsidR="00C90FE0" w:rsidRPr="00422DDB">
        <w:rPr>
          <w:rFonts w:ascii="Goudy Old Style" w:hAnsi="Goudy Old Style"/>
          <w:i/>
          <w:iCs/>
        </w:rPr>
        <w:t>Staphylococcus aureus</w:t>
      </w:r>
      <w:r w:rsidR="00C90FE0" w:rsidRPr="00422DDB">
        <w:rPr>
          <w:rFonts w:ascii="Goudy Old Style" w:hAnsi="Goudy Old Style"/>
        </w:rPr>
        <w:t xml:space="preserve"> and Coagulase-negative </w:t>
      </w:r>
      <w:r w:rsidR="00C90FE0" w:rsidRPr="00422DDB">
        <w:rPr>
          <w:rFonts w:ascii="Goudy Old Style" w:hAnsi="Goudy Old Style"/>
          <w:i/>
          <w:iCs/>
        </w:rPr>
        <w:t>Staphylococci</w:t>
      </w:r>
      <w:r w:rsidR="00C90FE0" w:rsidRPr="00422DDB">
        <w:rPr>
          <w:rFonts w:ascii="Goudy Old Style" w:hAnsi="Goudy Old Style"/>
        </w:rPr>
        <w:t>); there were five Gram-negative bacteria identified (</w:t>
      </w:r>
      <w:r w:rsidR="00C90FE0" w:rsidRPr="00422DDB">
        <w:rPr>
          <w:rFonts w:ascii="Goudy Old Style" w:hAnsi="Goudy Old Style"/>
          <w:i/>
          <w:iCs/>
        </w:rPr>
        <w:t>Escherichia coli, Acinetobacter baumannii</w:t>
      </w:r>
      <w:r w:rsidR="00C90FE0" w:rsidRPr="00422DDB">
        <w:rPr>
          <w:rFonts w:ascii="Goudy Old Style" w:hAnsi="Goudy Old Style"/>
        </w:rPr>
        <w:t xml:space="preserve">, and </w:t>
      </w:r>
      <w:r w:rsidR="00C90FE0" w:rsidRPr="00422DDB">
        <w:rPr>
          <w:rFonts w:ascii="Goudy Old Style" w:hAnsi="Goudy Old Style"/>
          <w:i/>
          <w:iCs/>
        </w:rPr>
        <w:t>Burkholderia cepacia</w:t>
      </w:r>
      <w:r w:rsidR="00C90FE0" w:rsidRPr="00422DDB">
        <w:rPr>
          <w:rFonts w:ascii="Goudy Old Style" w:hAnsi="Goudy Old Style"/>
        </w:rPr>
        <w:t xml:space="preserve">); and 2 yeasts identified as </w:t>
      </w:r>
      <w:r w:rsidR="00C90FE0" w:rsidRPr="00422DDB">
        <w:rPr>
          <w:rFonts w:ascii="Goudy Old Style" w:hAnsi="Goudy Old Style"/>
          <w:i/>
          <w:iCs/>
        </w:rPr>
        <w:t>Candida</w:t>
      </w:r>
      <w:r w:rsidR="00C90FE0" w:rsidRPr="00422DDB">
        <w:rPr>
          <w:rFonts w:ascii="Goudy Old Style" w:hAnsi="Goudy Old Style"/>
        </w:rPr>
        <w:t xml:space="preserve"> species. </w:t>
      </w:r>
    </w:p>
    <w:p w14:paraId="7DD3597B" w14:textId="6B045AEE" w:rsidR="0003070E" w:rsidRPr="00422DDB" w:rsidRDefault="00EB4486" w:rsidP="0004060E">
      <w:pPr>
        <w:spacing w:line="276" w:lineRule="auto"/>
        <w:ind w:firstLine="567"/>
        <w:jc w:val="both"/>
        <w:rPr>
          <w:rFonts w:ascii="Goudy Old Style" w:hAnsi="Goudy Old Style"/>
        </w:rPr>
      </w:pPr>
      <w:r w:rsidRPr="00422DDB">
        <w:rPr>
          <w:rFonts w:ascii="Goudy Old Style" w:hAnsi="Goudy Old Style"/>
        </w:rPr>
        <w:t xml:space="preserve">Most patients (88.77%) had received antibiotic therapy prior to blood </w:t>
      </w:r>
      <w:r w:rsidR="00CE07FD">
        <w:rPr>
          <w:rFonts w:ascii="Goudy Old Style" w:hAnsi="Goudy Old Style"/>
        </w:rPr>
        <w:t>culture</w:t>
      </w:r>
      <w:r w:rsidRPr="00422DDB">
        <w:rPr>
          <w:rFonts w:ascii="Goudy Old Style" w:hAnsi="Goudy Old Style"/>
        </w:rPr>
        <w:t xml:space="preserve"> collection, with the most prescribed antibiotics being </w:t>
      </w:r>
      <w:r w:rsidR="009026BE" w:rsidRPr="00422DDB">
        <w:rPr>
          <w:rFonts w:ascii="Goudy Old Style" w:hAnsi="Goudy Old Style"/>
        </w:rPr>
        <w:t>cephalosporin</w:t>
      </w:r>
      <w:r w:rsidR="005B3010" w:rsidRPr="00422DDB">
        <w:rPr>
          <w:rFonts w:ascii="Goudy Old Style" w:hAnsi="Goudy Old Style"/>
        </w:rPr>
        <w:t xml:space="preserve">s (72.4%) </w:t>
      </w:r>
      <w:r w:rsidRPr="00422DDB">
        <w:rPr>
          <w:rFonts w:ascii="Goudy Old Style" w:hAnsi="Goudy Old Style"/>
        </w:rPr>
        <w:t xml:space="preserve">followed by </w:t>
      </w:r>
      <w:r w:rsidR="005B3010" w:rsidRPr="00422DDB">
        <w:rPr>
          <w:rFonts w:ascii="Goudy Old Style" w:hAnsi="Goudy Old Style"/>
        </w:rPr>
        <w:t>quinolone</w:t>
      </w:r>
      <w:r w:rsidRPr="00422DDB">
        <w:rPr>
          <w:rFonts w:ascii="Goudy Old Style" w:hAnsi="Goudy Old Style"/>
        </w:rPr>
        <w:t xml:space="preserve">s. </w:t>
      </w:r>
      <w:r w:rsidR="0003070E" w:rsidRPr="00422DDB">
        <w:rPr>
          <w:rFonts w:ascii="Goudy Old Style" w:hAnsi="Goudy Old Style"/>
        </w:rPr>
        <w:t xml:space="preserve">Eleven patients died during treatment, six of whom were admitted to the ICU with positive blood </w:t>
      </w:r>
      <w:r w:rsidR="00CE07FD">
        <w:rPr>
          <w:rFonts w:ascii="Goudy Old Style" w:hAnsi="Goudy Old Style"/>
        </w:rPr>
        <w:t>culture</w:t>
      </w:r>
      <w:r w:rsidR="0003070E" w:rsidRPr="00422DDB">
        <w:rPr>
          <w:rFonts w:ascii="Goudy Old Style" w:hAnsi="Goudy Old Style"/>
        </w:rPr>
        <w:t xml:space="preserve"> results.</w:t>
      </w:r>
    </w:p>
    <w:p w14:paraId="3FC174CD" w14:textId="5C957B2D" w:rsidR="006F427E" w:rsidRPr="00422DDB" w:rsidRDefault="006F427E" w:rsidP="006F427E">
      <w:pPr>
        <w:spacing w:line="276" w:lineRule="auto"/>
        <w:jc w:val="both"/>
        <w:rPr>
          <w:rFonts w:ascii="Goudy Old Style" w:hAnsi="Goudy Old Style"/>
        </w:rPr>
      </w:pPr>
    </w:p>
    <w:p w14:paraId="0FE6B57F" w14:textId="77777777" w:rsidR="00422DDB" w:rsidRPr="00422DDB" w:rsidRDefault="00422DDB" w:rsidP="006F427E">
      <w:pPr>
        <w:spacing w:line="276" w:lineRule="auto"/>
        <w:jc w:val="both"/>
        <w:rPr>
          <w:rFonts w:ascii="Goudy Old Style" w:hAnsi="Goudy Old Style"/>
        </w:rPr>
      </w:pPr>
    </w:p>
    <w:p w14:paraId="0474D8C2" w14:textId="77777777" w:rsidR="00422DDB" w:rsidRPr="00422DDB" w:rsidRDefault="00422DDB" w:rsidP="006F427E">
      <w:pPr>
        <w:spacing w:line="276" w:lineRule="auto"/>
        <w:jc w:val="both"/>
        <w:rPr>
          <w:rFonts w:ascii="Goudy Old Style" w:hAnsi="Goudy Old Style"/>
        </w:rPr>
      </w:pPr>
    </w:p>
    <w:p w14:paraId="15BDC33E" w14:textId="77777777" w:rsidR="00422DDB" w:rsidRDefault="00422DDB" w:rsidP="006F427E">
      <w:pPr>
        <w:spacing w:line="276" w:lineRule="auto"/>
        <w:jc w:val="both"/>
        <w:rPr>
          <w:rFonts w:ascii="Goudy Old Style" w:hAnsi="Goudy Old Style"/>
        </w:rPr>
      </w:pPr>
    </w:p>
    <w:p w14:paraId="2149C41E" w14:textId="77777777" w:rsidR="00CC6CCC" w:rsidRPr="00422DDB" w:rsidRDefault="00CC6CCC" w:rsidP="006F427E">
      <w:pPr>
        <w:spacing w:line="276" w:lineRule="auto"/>
        <w:jc w:val="both"/>
        <w:rPr>
          <w:rFonts w:ascii="Goudy Old Style" w:hAnsi="Goudy Old Style"/>
        </w:rPr>
      </w:pPr>
    </w:p>
    <w:p w14:paraId="33CBBF16" w14:textId="1E142A50" w:rsidR="009D1359" w:rsidRPr="00422DDB" w:rsidRDefault="009D1359" w:rsidP="00240E82">
      <w:pPr>
        <w:ind w:left="993" w:right="946"/>
        <w:jc w:val="center"/>
        <w:rPr>
          <w:rFonts w:ascii="Goudy Old Style" w:hAnsi="Goudy Old Style"/>
          <w:b/>
          <w:bCs/>
        </w:rPr>
      </w:pPr>
      <w:r w:rsidRPr="00422DDB">
        <w:rPr>
          <w:rFonts w:ascii="Goudy Old Style" w:hAnsi="Goudy Old Style"/>
          <w:b/>
          <w:bCs/>
        </w:rPr>
        <w:t xml:space="preserve">Table 1. Patient </w:t>
      </w:r>
      <w:r w:rsidR="0078600E">
        <w:rPr>
          <w:rFonts w:ascii="Goudy Old Style" w:hAnsi="Goudy Old Style"/>
          <w:b/>
          <w:bCs/>
        </w:rPr>
        <w:t>D</w:t>
      </w:r>
      <w:r w:rsidRPr="00422DDB">
        <w:rPr>
          <w:rFonts w:ascii="Goudy Old Style" w:hAnsi="Goudy Old Style"/>
          <w:b/>
          <w:bCs/>
        </w:rPr>
        <w:t xml:space="preserve">emographic </w:t>
      </w:r>
      <w:r w:rsidR="0078600E">
        <w:rPr>
          <w:rFonts w:ascii="Goudy Old Style" w:hAnsi="Goudy Old Style"/>
          <w:b/>
          <w:bCs/>
        </w:rPr>
        <w:t>D</w:t>
      </w:r>
      <w:r w:rsidRPr="00422DDB">
        <w:rPr>
          <w:rFonts w:ascii="Goudy Old Style" w:hAnsi="Goudy Old Style"/>
          <w:b/>
          <w:bCs/>
        </w:rPr>
        <w:t xml:space="preserve">ata, </w:t>
      </w:r>
      <w:r w:rsidR="0078600E">
        <w:rPr>
          <w:rFonts w:ascii="Goudy Old Style" w:hAnsi="Goudy Old Style"/>
          <w:b/>
          <w:bCs/>
        </w:rPr>
        <w:t>I</w:t>
      </w:r>
      <w:r w:rsidRPr="00422DDB">
        <w:rPr>
          <w:rFonts w:ascii="Goudy Old Style" w:hAnsi="Goudy Old Style"/>
          <w:b/>
          <w:bCs/>
        </w:rPr>
        <w:t xml:space="preserve">dentified </w:t>
      </w:r>
      <w:r w:rsidR="0078600E">
        <w:rPr>
          <w:rFonts w:ascii="Goudy Old Style" w:hAnsi="Goudy Old Style"/>
          <w:b/>
          <w:bCs/>
        </w:rPr>
        <w:t>M</w:t>
      </w:r>
      <w:r w:rsidRPr="00422DDB">
        <w:rPr>
          <w:rFonts w:ascii="Goudy Old Style" w:hAnsi="Goudy Old Style"/>
          <w:b/>
          <w:bCs/>
        </w:rPr>
        <w:t xml:space="preserve">icroorganisms, and </w:t>
      </w:r>
      <w:r w:rsidR="0078600E">
        <w:rPr>
          <w:rFonts w:ascii="Goudy Old Style" w:hAnsi="Goudy Old Style"/>
          <w:b/>
          <w:bCs/>
        </w:rPr>
        <w:t>T</w:t>
      </w:r>
      <w:r w:rsidRPr="00422DDB">
        <w:rPr>
          <w:rFonts w:ascii="Goudy Old Style" w:hAnsi="Goudy Old Style"/>
          <w:b/>
          <w:bCs/>
        </w:rPr>
        <w:t xml:space="preserve">ypes of </w:t>
      </w:r>
      <w:r w:rsidR="0078600E">
        <w:rPr>
          <w:rFonts w:ascii="Goudy Old Style" w:hAnsi="Goudy Old Style"/>
          <w:b/>
          <w:bCs/>
        </w:rPr>
        <w:t>A</w:t>
      </w:r>
      <w:r w:rsidRPr="00422DDB">
        <w:rPr>
          <w:rFonts w:ascii="Goudy Old Style" w:hAnsi="Goudy Old Style"/>
          <w:b/>
          <w:bCs/>
        </w:rPr>
        <w:t xml:space="preserve">ntibiotics used </w:t>
      </w:r>
      <w:r w:rsidR="0078600E">
        <w:rPr>
          <w:rFonts w:ascii="Goudy Old Style" w:hAnsi="Goudy Old Style"/>
          <w:b/>
          <w:bCs/>
        </w:rPr>
        <w:t>D</w:t>
      </w:r>
      <w:r w:rsidRPr="00422DDB">
        <w:rPr>
          <w:rFonts w:ascii="Goudy Old Style" w:hAnsi="Goudy Old Style"/>
          <w:b/>
          <w:bCs/>
        </w:rPr>
        <w:t xml:space="preserve">uring </w:t>
      </w:r>
      <w:r w:rsidR="0078600E">
        <w:rPr>
          <w:rFonts w:ascii="Goudy Old Style" w:hAnsi="Goudy Old Style"/>
          <w:b/>
          <w:bCs/>
        </w:rPr>
        <w:t>T</w:t>
      </w:r>
      <w:r w:rsidRPr="00422DDB">
        <w:rPr>
          <w:rFonts w:ascii="Goudy Old Style" w:hAnsi="Goudy Old Style"/>
          <w:b/>
          <w:bCs/>
        </w:rPr>
        <w:t>reatment</w:t>
      </w:r>
    </w:p>
    <w:tbl>
      <w:tblPr>
        <w:tblW w:w="0" w:type="auto"/>
        <w:tblInd w:w="993" w:type="dxa"/>
        <w:tblBorders>
          <w:top w:val="single" w:sz="4" w:space="0" w:color="auto"/>
          <w:bottom w:val="single" w:sz="4" w:space="0" w:color="auto"/>
        </w:tblBorders>
        <w:tblLook w:val="04A0" w:firstRow="1" w:lastRow="0" w:firstColumn="1" w:lastColumn="0" w:noHBand="0" w:noVBand="1"/>
      </w:tblPr>
      <w:tblGrid>
        <w:gridCol w:w="1373"/>
        <w:gridCol w:w="2548"/>
        <w:gridCol w:w="3166"/>
      </w:tblGrid>
      <w:tr w:rsidR="009D1359" w:rsidRPr="0004060E" w14:paraId="5AA3E7CD" w14:textId="77777777" w:rsidTr="001F5045">
        <w:trPr>
          <w:trHeight w:val="410"/>
        </w:trPr>
        <w:tc>
          <w:tcPr>
            <w:tcW w:w="3921" w:type="dxa"/>
            <w:gridSpan w:val="2"/>
            <w:tcBorders>
              <w:top w:val="single" w:sz="4" w:space="0" w:color="auto"/>
              <w:bottom w:val="single" w:sz="4" w:space="0" w:color="auto"/>
            </w:tcBorders>
            <w:shd w:val="clear" w:color="auto" w:fill="auto"/>
            <w:vAlign w:val="center"/>
            <w:hideMark/>
          </w:tcPr>
          <w:p w14:paraId="42BAE4F6" w14:textId="77777777" w:rsidR="009D1359" w:rsidRPr="0004060E" w:rsidRDefault="009D1359" w:rsidP="0004060E">
            <w:pPr>
              <w:jc w:val="center"/>
              <w:rPr>
                <w:rFonts w:ascii="Goudy Old Style" w:hAnsi="Goudy Old Style"/>
                <w:b/>
                <w:bCs/>
                <w:sz w:val="20"/>
                <w:szCs w:val="20"/>
                <w:lang w:val="en-US"/>
                <w14:ligatures w14:val="none"/>
              </w:rPr>
            </w:pPr>
            <w:r w:rsidRPr="0004060E">
              <w:rPr>
                <w:rFonts w:ascii="Goudy Old Style" w:hAnsi="Goudy Old Style"/>
                <w:b/>
                <w:bCs/>
                <w:sz w:val="20"/>
                <w:szCs w:val="20"/>
                <w:lang w:val="en-US"/>
                <w14:ligatures w14:val="none"/>
              </w:rPr>
              <w:t>Demographic Variables (n=98)</w:t>
            </w:r>
          </w:p>
        </w:tc>
        <w:tc>
          <w:tcPr>
            <w:tcW w:w="3166" w:type="dxa"/>
            <w:tcBorders>
              <w:top w:val="single" w:sz="4" w:space="0" w:color="auto"/>
              <w:bottom w:val="single" w:sz="4" w:space="0" w:color="auto"/>
            </w:tcBorders>
            <w:shd w:val="clear" w:color="auto" w:fill="auto"/>
            <w:vAlign w:val="center"/>
            <w:hideMark/>
          </w:tcPr>
          <w:p w14:paraId="16EE9A58" w14:textId="77777777" w:rsidR="009D1359" w:rsidRPr="0004060E" w:rsidRDefault="009D1359" w:rsidP="0004060E">
            <w:pPr>
              <w:jc w:val="center"/>
              <w:rPr>
                <w:rFonts w:ascii="Goudy Old Style" w:hAnsi="Goudy Old Style"/>
                <w:b/>
                <w:bCs/>
                <w:sz w:val="20"/>
                <w:szCs w:val="20"/>
                <w:lang w:val="en-US"/>
                <w14:ligatures w14:val="none"/>
              </w:rPr>
            </w:pPr>
            <w:r w:rsidRPr="0004060E">
              <w:rPr>
                <w:rFonts w:ascii="Goudy Old Style" w:hAnsi="Goudy Old Style"/>
                <w:b/>
                <w:bCs/>
                <w:sz w:val="20"/>
                <w:szCs w:val="20"/>
                <w:lang w:val="en-US"/>
                <w14:ligatures w14:val="none"/>
              </w:rPr>
              <w:t>Mean/Freq (%)</w:t>
            </w:r>
          </w:p>
        </w:tc>
      </w:tr>
      <w:tr w:rsidR="009D1359" w:rsidRPr="0004060E" w14:paraId="07203882" w14:textId="77777777" w:rsidTr="001F5045">
        <w:trPr>
          <w:trHeight w:val="288"/>
        </w:trPr>
        <w:tc>
          <w:tcPr>
            <w:tcW w:w="3921" w:type="dxa"/>
            <w:gridSpan w:val="2"/>
            <w:tcBorders>
              <w:top w:val="single" w:sz="4" w:space="0" w:color="auto"/>
            </w:tcBorders>
            <w:shd w:val="clear" w:color="auto" w:fill="auto"/>
            <w:vAlign w:val="center"/>
            <w:hideMark/>
          </w:tcPr>
          <w:p w14:paraId="5D008866" w14:textId="77777777" w:rsidR="009D1359" w:rsidRPr="0004060E" w:rsidRDefault="009D1359" w:rsidP="0004060E">
            <w:pPr>
              <w:rPr>
                <w:rFonts w:ascii="Goudy Old Style" w:hAnsi="Goudy Old Style"/>
                <w:b/>
                <w:bCs/>
                <w:sz w:val="20"/>
                <w:szCs w:val="20"/>
                <w:lang w:val="en-US"/>
                <w14:ligatures w14:val="none"/>
              </w:rPr>
            </w:pPr>
            <w:r w:rsidRPr="0004060E">
              <w:rPr>
                <w:rFonts w:ascii="Goudy Old Style" w:hAnsi="Goudy Old Style"/>
                <w:b/>
                <w:bCs/>
                <w:sz w:val="20"/>
                <w:szCs w:val="20"/>
                <w:lang w:val="en-US"/>
                <w14:ligatures w14:val="none"/>
              </w:rPr>
              <w:t>Sex</w:t>
            </w:r>
          </w:p>
        </w:tc>
        <w:tc>
          <w:tcPr>
            <w:tcW w:w="3166" w:type="dxa"/>
            <w:tcBorders>
              <w:top w:val="single" w:sz="4" w:space="0" w:color="auto"/>
            </w:tcBorders>
            <w:shd w:val="clear" w:color="auto" w:fill="auto"/>
            <w:vAlign w:val="center"/>
            <w:hideMark/>
          </w:tcPr>
          <w:p w14:paraId="787DA497" w14:textId="77777777" w:rsidR="009D1359" w:rsidRPr="0004060E" w:rsidRDefault="009D1359" w:rsidP="0004060E">
            <w:pPr>
              <w:jc w:val="center"/>
              <w:rPr>
                <w:rFonts w:ascii="Goudy Old Style" w:hAnsi="Goudy Old Style"/>
                <w:b/>
                <w:bCs/>
                <w:sz w:val="20"/>
                <w:szCs w:val="20"/>
                <w:lang w:val="en-US"/>
                <w14:ligatures w14:val="none"/>
              </w:rPr>
            </w:pPr>
            <w:r w:rsidRPr="0004060E">
              <w:rPr>
                <w:rFonts w:ascii="Goudy Old Style" w:hAnsi="Goudy Old Style"/>
                <w:b/>
                <w:bCs/>
                <w:sz w:val="20"/>
                <w:szCs w:val="20"/>
                <w:lang w:val="en-US"/>
                <w14:ligatures w14:val="none"/>
              </w:rPr>
              <w:t> </w:t>
            </w:r>
          </w:p>
        </w:tc>
      </w:tr>
      <w:tr w:rsidR="009D1359" w:rsidRPr="0004060E" w14:paraId="2C8BAC1F" w14:textId="77777777" w:rsidTr="00240E82">
        <w:trPr>
          <w:trHeight w:val="288"/>
        </w:trPr>
        <w:tc>
          <w:tcPr>
            <w:tcW w:w="1373" w:type="dxa"/>
            <w:vMerge w:val="restart"/>
            <w:shd w:val="clear" w:color="auto" w:fill="auto"/>
            <w:noWrap/>
            <w:vAlign w:val="center"/>
            <w:hideMark/>
          </w:tcPr>
          <w:p w14:paraId="7A248C3E" w14:textId="77777777" w:rsidR="009D1359" w:rsidRPr="0004060E" w:rsidRDefault="009D1359" w:rsidP="0004060E">
            <w:pPr>
              <w:jc w:val="center"/>
              <w:rPr>
                <w:rFonts w:ascii="Goudy Old Style" w:hAnsi="Goudy Old Style"/>
                <w:b/>
                <w:bCs/>
                <w:sz w:val="20"/>
                <w:szCs w:val="20"/>
                <w:lang w:val="en-US"/>
                <w14:ligatures w14:val="none"/>
              </w:rPr>
            </w:pPr>
            <w:r w:rsidRPr="0004060E">
              <w:rPr>
                <w:rFonts w:ascii="Goudy Old Style" w:hAnsi="Goudy Old Style"/>
                <w:b/>
                <w:bCs/>
                <w:sz w:val="20"/>
                <w:szCs w:val="20"/>
                <w:lang w:val="en-US"/>
                <w14:ligatures w14:val="none"/>
              </w:rPr>
              <w:t> </w:t>
            </w:r>
          </w:p>
        </w:tc>
        <w:tc>
          <w:tcPr>
            <w:tcW w:w="0" w:type="auto"/>
            <w:shd w:val="clear" w:color="auto" w:fill="auto"/>
            <w:noWrap/>
            <w:vAlign w:val="center"/>
            <w:hideMark/>
          </w:tcPr>
          <w:p w14:paraId="67252F7E" w14:textId="77777777" w:rsidR="009D1359" w:rsidRPr="0004060E" w:rsidRDefault="009D1359" w:rsidP="0004060E">
            <w:pPr>
              <w:rPr>
                <w:rFonts w:ascii="Goudy Old Style" w:hAnsi="Goudy Old Style"/>
                <w:sz w:val="20"/>
                <w:szCs w:val="20"/>
                <w:lang w:val="en-US"/>
                <w14:ligatures w14:val="none"/>
              </w:rPr>
            </w:pPr>
            <w:r w:rsidRPr="0004060E">
              <w:rPr>
                <w:rFonts w:ascii="Goudy Old Style" w:hAnsi="Goudy Old Style"/>
                <w:sz w:val="20"/>
                <w:szCs w:val="20"/>
                <w:lang w:val="en-US"/>
                <w14:ligatures w14:val="none"/>
              </w:rPr>
              <w:t>Male</w:t>
            </w:r>
          </w:p>
        </w:tc>
        <w:tc>
          <w:tcPr>
            <w:tcW w:w="3166" w:type="dxa"/>
            <w:shd w:val="clear" w:color="auto" w:fill="auto"/>
            <w:noWrap/>
            <w:vAlign w:val="center"/>
            <w:hideMark/>
          </w:tcPr>
          <w:p w14:paraId="189BD01D" w14:textId="77777777" w:rsidR="009D1359" w:rsidRPr="0004060E" w:rsidRDefault="009D1359" w:rsidP="0004060E">
            <w:pPr>
              <w:jc w:val="center"/>
              <w:rPr>
                <w:rFonts w:ascii="Goudy Old Style" w:hAnsi="Goudy Old Style"/>
                <w:sz w:val="20"/>
                <w:szCs w:val="20"/>
                <w:lang w:val="en-US"/>
                <w14:ligatures w14:val="none"/>
              </w:rPr>
            </w:pPr>
            <w:r w:rsidRPr="0004060E">
              <w:rPr>
                <w:rFonts w:ascii="Goudy Old Style" w:hAnsi="Goudy Old Style"/>
                <w:sz w:val="20"/>
                <w:szCs w:val="20"/>
                <w:lang w:val="en-US"/>
                <w14:ligatures w14:val="none"/>
              </w:rPr>
              <w:t>48 (49.0)</w:t>
            </w:r>
          </w:p>
        </w:tc>
      </w:tr>
      <w:tr w:rsidR="009D1359" w:rsidRPr="0004060E" w14:paraId="0508C28F" w14:textId="77777777" w:rsidTr="00240E82">
        <w:trPr>
          <w:trHeight w:val="288"/>
        </w:trPr>
        <w:tc>
          <w:tcPr>
            <w:tcW w:w="1373" w:type="dxa"/>
            <w:vMerge/>
            <w:vAlign w:val="center"/>
            <w:hideMark/>
          </w:tcPr>
          <w:p w14:paraId="0556F4F6" w14:textId="77777777" w:rsidR="009D1359" w:rsidRPr="0004060E" w:rsidRDefault="009D1359" w:rsidP="0004060E">
            <w:pPr>
              <w:rPr>
                <w:rFonts w:ascii="Goudy Old Style" w:hAnsi="Goudy Old Style"/>
                <w:b/>
                <w:bCs/>
                <w:sz w:val="20"/>
                <w:szCs w:val="20"/>
                <w:lang w:val="en-US"/>
                <w14:ligatures w14:val="none"/>
              </w:rPr>
            </w:pPr>
          </w:p>
        </w:tc>
        <w:tc>
          <w:tcPr>
            <w:tcW w:w="0" w:type="auto"/>
            <w:shd w:val="clear" w:color="auto" w:fill="auto"/>
            <w:noWrap/>
            <w:vAlign w:val="center"/>
            <w:hideMark/>
          </w:tcPr>
          <w:p w14:paraId="740030B8" w14:textId="77777777" w:rsidR="009D1359" w:rsidRPr="0004060E" w:rsidRDefault="009D1359" w:rsidP="0004060E">
            <w:pPr>
              <w:rPr>
                <w:rFonts w:ascii="Goudy Old Style" w:hAnsi="Goudy Old Style"/>
                <w:sz w:val="20"/>
                <w:szCs w:val="20"/>
                <w:lang w:val="en-US"/>
                <w14:ligatures w14:val="none"/>
              </w:rPr>
            </w:pPr>
            <w:r w:rsidRPr="0004060E">
              <w:rPr>
                <w:rFonts w:ascii="Goudy Old Style" w:hAnsi="Goudy Old Style"/>
                <w:sz w:val="20"/>
                <w:szCs w:val="20"/>
                <w:lang w:val="en-US"/>
                <w14:ligatures w14:val="none"/>
              </w:rPr>
              <w:t>Female</w:t>
            </w:r>
          </w:p>
        </w:tc>
        <w:tc>
          <w:tcPr>
            <w:tcW w:w="3166" w:type="dxa"/>
            <w:shd w:val="clear" w:color="auto" w:fill="auto"/>
            <w:noWrap/>
            <w:vAlign w:val="center"/>
            <w:hideMark/>
          </w:tcPr>
          <w:p w14:paraId="4659FB41" w14:textId="77777777" w:rsidR="009D1359" w:rsidRPr="0004060E" w:rsidRDefault="009D1359" w:rsidP="0004060E">
            <w:pPr>
              <w:jc w:val="center"/>
              <w:rPr>
                <w:rFonts w:ascii="Goudy Old Style" w:hAnsi="Goudy Old Style"/>
                <w:sz w:val="20"/>
                <w:szCs w:val="20"/>
                <w:lang w:val="en-US"/>
                <w14:ligatures w14:val="none"/>
              </w:rPr>
            </w:pPr>
            <w:r w:rsidRPr="0004060E">
              <w:rPr>
                <w:rFonts w:ascii="Goudy Old Style" w:hAnsi="Goudy Old Style"/>
                <w:sz w:val="20"/>
                <w:szCs w:val="20"/>
                <w:lang w:val="en-US"/>
                <w14:ligatures w14:val="none"/>
              </w:rPr>
              <w:t>50 (51.0)</w:t>
            </w:r>
          </w:p>
        </w:tc>
      </w:tr>
      <w:tr w:rsidR="009D1359" w:rsidRPr="0004060E" w14:paraId="207F7153" w14:textId="77777777" w:rsidTr="00240E82">
        <w:trPr>
          <w:trHeight w:val="288"/>
        </w:trPr>
        <w:tc>
          <w:tcPr>
            <w:tcW w:w="3921" w:type="dxa"/>
            <w:gridSpan w:val="2"/>
            <w:shd w:val="clear" w:color="auto" w:fill="auto"/>
            <w:noWrap/>
            <w:vAlign w:val="center"/>
            <w:hideMark/>
          </w:tcPr>
          <w:p w14:paraId="3C1CA88A" w14:textId="2D90F34D" w:rsidR="009D1359" w:rsidRPr="0004060E" w:rsidRDefault="00AB5238" w:rsidP="0004060E">
            <w:pPr>
              <w:rPr>
                <w:rFonts w:ascii="Goudy Old Style" w:hAnsi="Goudy Old Style"/>
                <w:b/>
                <w:bCs/>
                <w:sz w:val="20"/>
                <w:szCs w:val="20"/>
                <w:lang w:val="en-US"/>
                <w14:ligatures w14:val="none"/>
              </w:rPr>
            </w:pPr>
            <w:r w:rsidRPr="0004060E">
              <w:rPr>
                <w:rFonts w:ascii="Goudy Old Style" w:hAnsi="Goudy Old Style"/>
                <w:b/>
                <w:bCs/>
                <w:sz w:val="20"/>
                <w:szCs w:val="20"/>
                <w:lang w:val="en-US"/>
                <w14:ligatures w14:val="none"/>
              </w:rPr>
              <w:t>High Risk f</w:t>
            </w:r>
            <w:r w:rsidR="00551AA8" w:rsidRPr="0004060E">
              <w:rPr>
                <w:rFonts w:ascii="Goudy Old Style" w:hAnsi="Goudy Old Style"/>
                <w:b/>
                <w:bCs/>
                <w:sz w:val="20"/>
                <w:szCs w:val="20"/>
                <w:lang w:val="en-US"/>
                <w14:ligatures w14:val="none"/>
              </w:rPr>
              <w:t>or Sepsis</w:t>
            </w:r>
          </w:p>
        </w:tc>
        <w:tc>
          <w:tcPr>
            <w:tcW w:w="3166" w:type="dxa"/>
            <w:shd w:val="clear" w:color="auto" w:fill="auto"/>
            <w:noWrap/>
            <w:vAlign w:val="center"/>
            <w:hideMark/>
          </w:tcPr>
          <w:p w14:paraId="327A7FA3" w14:textId="77777777" w:rsidR="009D1359" w:rsidRPr="0004060E" w:rsidRDefault="009D1359" w:rsidP="0004060E">
            <w:pPr>
              <w:jc w:val="center"/>
              <w:rPr>
                <w:rFonts w:ascii="Goudy Old Style" w:hAnsi="Goudy Old Style"/>
                <w:sz w:val="20"/>
                <w:szCs w:val="20"/>
                <w:lang w:val="en-US"/>
                <w14:ligatures w14:val="none"/>
              </w:rPr>
            </w:pPr>
            <w:r w:rsidRPr="0004060E">
              <w:rPr>
                <w:rFonts w:ascii="Goudy Old Style" w:hAnsi="Goudy Old Style"/>
                <w:sz w:val="20"/>
                <w:szCs w:val="20"/>
                <w:lang w:val="en-US"/>
                <w14:ligatures w14:val="none"/>
              </w:rPr>
              <w:t> </w:t>
            </w:r>
          </w:p>
        </w:tc>
      </w:tr>
      <w:tr w:rsidR="009D1359" w:rsidRPr="0004060E" w14:paraId="07B720ED" w14:textId="77777777" w:rsidTr="00240E82">
        <w:trPr>
          <w:trHeight w:val="288"/>
        </w:trPr>
        <w:tc>
          <w:tcPr>
            <w:tcW w:w="1373" w:type="dxa"/>
            <w:vMerge w:val="restart"/>
            <w:shd w:val="clear" w:color="auto" w:fill="auto"/>
            <w:noWrap/>
            <w:vAlign w:val="center"/>
            <w:hideMark/>
          </w:tcPr>
          <w:p w14:paraId="542B4036" w14:textId="77777777" w:rsidR="009D1359" w:rsidRPr="0004060E" w:rsidRDefault="009D1359" w:rsidP="0004060E">
            <w:pPr>
              <w:jc w:val="center"/>
              <w:rPr>
                <w:rFonts w:ascii="Goudy Old Style" w:hAnsi="Goudy Old Style"/>
                <w:b/>
                <w:bCs/>
                <w:sz w:val="20"/>
                <w:szCs w:val="20"/>
                <w:lang w:val="en-US"/>
                <w14:ligatures w14:val="none"/>
              </w:rPr>
            </w:pPr>
            <w:r w:rsidRPr="0004060E">
              <w:rPr>
                <w:rFonts w:ascii="Goudy Old Style" w:hAnsi="Goudy Old Style"/>
                <w:b/>
                <w:bCs/>
                <w:sz w:val="20"/>
                <w:szCs w:val="20"/>
                <w:lang w:val="en-US"/>
                <w14:ligatures w14:val="none"/>
              </w:rPr>
              <w:t> </w:t>
            </w:r>
          </w:p>
        </w:tc>
        <w:tc>
          <w:tcPr>
            <w:tcW w:w="0" w:type="auto"/>
            <w:shd w:val="clear" w:color="auto" w:fill="auto"/>
            <w:noWrap/>
            <w:vAlign w:val="bottom"/>
            <w:hideMark/>
          </w:tcPr>
          <w:p w14:paraId="1A4B4743" w14:textId="77777777" w:rsidR="009D1359" w:rsidRPr="0004060E" w:rsidRDefault="009D1359" w:rsidP="0004060E">
            <w:pPr>
              <w:rPr>
                <w:rFonts w:ascii="Goudy Old Style" w:hAnsi="Goudy Old Style"/>
                <w:sz w:val="20"/>
                <w:szCs w:val="20"/>
                <w:lang w:val="en-US"/>
                <w14:ligatures w14:val="none"/>
              </w:rPr>
            </w:pPr>
            <w:r w:rsidRPr="0004060E">
              <w:rPr>
                <w:rFonts w:ascii="Goudy Old Style" w:hAnsi="Goudy Old Style"/>
                <w:sz w:val="20"/>
                <w:szCs w:val="20"/>
                <w:lang w:val="en-US"/>
                <w14:ligatures w14:val="none"/>
              </w:rPr>
              <w:t>Malignancy</w:t>
            </w:r>
          </w:p>
        </w:tc>
        <w:tc>
          <w:tcPr>
            <w:tcW w:w="3166" w:type="dxa"/>
            <w:shd w:val="clear" w:color="auto" w:fill="auto"/>
            <w:noWrap/>
            <w:vAlign w:val="bottom"/>
            <w:hideMark/>
          </w:tcPr>
          <w:p w14:paraId="54F9A18A" w14:textId="77777777" w:rsidR="009D1359" w:rsidRPr="0004060E" w:rsidRDefault="009D1359" w:rsidP="0004060E">
            <w:pPr>
              <w:jc w:val="center"/>
              <w:rPr>
                <w:rFonts w:ascii="Goudy Old Style" w:hAnsi="Goudy Old Style"/>
                <w:sz w:val="20"/>
                <w:szCs w:val="20"/>
                <w:lang w:val="en-US"/>
                <w14:ligatures w14:val="none"/>
              </w:rPr>
            </w:pPr>
            <w:r w:rsidRPr="0004060E">
              <w:rPr>
                <w:rFonts w:ascii="Goudy Old Style" w:hAnsi="Goudy Old Style"/>
                <w:sz w:val="20"/>
                <w:szCs w:val="20"/>
                <w:lang w:val="en-US"/>
                <w14:ligatures w14:val="none"/>
              </w:rPr>
              <w:t>24 (24.5)</w:t>
            </w:r>
          </w:p>
        </w:tc>
      </w:tr>
      <w:tr w:rsidR="009D1359" w:rsidRPr="0004060E" w14:paraId="2BB9599F" w14:textId="77777777" w:rsidTr="00240E82">
        <w:trPr>
          <w:trHeight w:val="288"/>
        </w:trPr>
        <w:tc>
          <w:tcPr>
            <w:tcW w:w="1373" w:type="dxa"/>
            <w:vMerge/>
            <w:vAlign w:val="center"/>
            <w:hideMark/>
          </w:tcPr>
          <w:p w14:paraId="1776C5E5" w14:textId="77777777" w:rsidR="009D1359" w:rsidRPr="0004060E" w:rsidRDefault="009D1359" w:rsidP="0004060E">
            <w:pPr>
              <w:rPr>
                <w:rFonts w:ascii="Goudy Old Style" w:hAnsi="Goudy Old Style"/>
                <w:b/>
                <w:bCs/>
                <w:sz w:val="20"/>
                <w:szCs w:val="20"/>
                <w:lang w:val="en-US"/>
                <w14:ligatures w14:val="none"/>
              </w:rPr>
            </w:pPr>
          </w:p>
        </w:tc>
        <w:tc>
          <w:tcPr>
            <w:tcW w:w="0" w:type="auto"/>
            <w:shd w:val="clear" w:color="auto" w:fill="auto"/>
            <w:noWrap/>
            <w:vAlign w:val="bottom"/>
            <w:hideMark/>
          </w:tcPr>
          <w:p w14:paraId="42929298" w14:textId="77777777" w:rsidR="009D1359" w:rsidRPr="0004060E" w:rsidRDefault="009D1359" w:rsidP="0004060E">
            <w:pPr>
              <w:rPr>
                <w:rFonts w:ascii="Goudy Old Style" w:hAnsi="Goudy Old Style"/>
                <w:sz w:val="20"/>
                <w:szCs w:val="20"/>
                <w:lang w:val="en-US"/>
                <w14:ligatures w14:val="none"/>
              </w:rPr>
            </w:pPr>
            <w:r w:rsidRPr="0004060E">
              <w:rPr>
                <w:rFonts w:ascii="Goudy Old Style" w:hAnsi="Goudy Old Style"/>
                <w:sz w:val="20"/>
                <w:szCs w:val="20"/>
                <w:lang w:val="en-US"/>
                <w14:ligatures w14:val="none"/>
              </w:rPr>
              <w:t>Parenteral Nutrition</w:t>
            </w:r>
          </w:p>
        </w:tc>
        <w:tc>
          <w:tcPr>
            <w:tcW w:w="3166" w:type="dxa"/>
            <w:shd w:val="clear" w:color="auto" w:fill="auto"/>
            <w:noWrap/>
            <w:vAlign w:val="bottom"/>
            <w:hideMark/>
          </w:tcPr>
          <w:p w14:paraId="0C0EB819" w14:textId="77777777" w:rsidR="009D1359" w:rsidRPr="0004060E" w:rsidRDefault="009D1359" w:rsidP="0004060E">
            <w:pPr>
              <w:jc w:val="center"/>
              <w:rPr>
                <w:rFonts w:ascii="Goudy Old Style" w:hAnsi="Goudy Old Style"/>
                <w:sz w:val="20"/>
                <w:szCs w:val="20"/>
                <w:lang w:val="en-US"/>
                <w14:ligatures w14:val="none"/>
              </w:rPr>
            </w:pPr>
            <w:r w:rsidRPr="0004060E">
              <w:rPr>
                <w:rFonts w:ascii="Goudy Old Style" w:hAnsi="Goudy Old Style"/>
                <w:sz w:val="20"/>
                <w:szCs w:val="20"/>
                <w:lang w:val="en-US"/>
                <w14:ligatures w14:val="none"/>
              </w:rPr>
              <w:t>35 (35.7)</w:t>
            </w:r>
          </w:p>
        </w:tc>
      </w:tr>
      <w:tr w:rsidR="009D1359" w:rsidRPr="0004060E" w14:paraId="1542DB3B" w14:textId="77777777" w:rsidTr="00240E82">
        <w:trPr>
          <w:trHeight w:val="288"/>
        </w:trPr>
        <w:tc>
          <w:tcPr>
            <w:tcW w:w="1373" w:type="dxa"/>
            <w:vMerge/>
            <w:vAlign w:val="center"/>
            <w:hideMark/>
          </w:tcPr>
          <w:p w14:paraId="00AFE7A1" w14:textId="77777777" w:rsidR="009D1359" w:rsidRPr="0004060E" w:rsidRDefault="009D1359" w:rsidP="0004060E">
            <w:pPr>
              <w:rPr>
                <w:rFonts w:ascii="Goudy Old Style" w:hAnsi="Goudy Old Style"/>
                <w:b/>
                <w:bCs/>
                <w:sz w:val="20"/>
                <w:szCs w:val="20"/>
                <w:lang w:val="en-US"/>
                <w14:ligatures w14:val="none"/>
              </w:rPr>
            </w:pPr>
          </w:p>
        </w:tc>
        <w:tc>
          <w:tcPr>
            <w:tcW w:w="0" w:type="auto"/>
            <w:shd w:val="clear" w:color="auto" w:fill="auto"/>
            <w:noWrap/>
            <w:vAlign w:val="bottom"/>
            <w:hideMark/>
          </w:tcPr>
          <w:p w14:paraId="7755CE2C" w14:textId="77777777" w:rsidR="009D1359" w:rsidRPr="0004060E" w:rsidRDefault="009D1359" w:rsidP="0004060E">
            <w:pPr>
              <w:rPr>
                <w:rFonts w:ascii="Goudy Old Style" w:hAnsi="Goudy Old Style"/>
                <w:sz w:val="20"/>
                <w:szCs w:val="20"/>
                <w:lang w:val="en-US"/>
                <w14:ligatures w14:val="none"/>
              </w:rPr>
            </w:pPr>
            <w:r w:rsidRPr="0004060E">
              <w:rPr>
                <w:rFonts w:ascii="Goudy Old Style" w:hAnsi="Goudy Old Style"/>
                <w:sz w:val="20"/>
                <w:szCs w:val="20"/>
                <w:lang w:val="en-US"/>
                <w14:ligatures w14:val="none"/>
              </w:rPr>
              <w:t>Chronic Kidney Injury</w:t>
            </w:r>
          </w:p>
        </w:tc>
        <w:tc>
          <w:tcPr>
            <w:tcW w:w="3166" w:type="dxa"/>
            <w:shd w:val="clear" w:color="auto" w:fill="auto"/>
            <w:noWrap/>
            <w:vAlign w:val="bottom"/>
            <w:hideMark/>
          </w:tcPr>
          <w:p w14:paraId="31D36127" w14:textId="77777777" w:rsidR="009D1359" w:rsidRPr="0004060E" w:rsidRDefault="009D1359" w:rsidP="0004060E">
            <w:pPr>
              <w:jc w:val="center"/>
              <w:rPr>
                <w:rFonts w:ascii="Goudy Old Style" w:hAnsi="Goudy Old Style"/>
                <w:sz w:val="20"/>
                <w:szCs w:val="20"/>
                <w:lang w:val="en-US"/>
                <w14:ligatures w14:val="none"/>
              </w:rPr>
            </w:pPr>
            <w:r w:rsidRPr="0004060E">
              <w:rPr>
                <w:rFonts w:ascii="Goudy Old Style" w:hAnsi="Goudy Old Style"/>
                <w:sz w:val="20"/>
                <w:szCs w:val="20"/>
                <w:lang w:val="en-US"/>
                <w14:ligatures w14:val="none"/>
              </w:rPr>
              <w:t>38 (38.8)</w:t>
            </w:r>
          </w:p>
        </w:tc>
      </w:tr>
      <w:tr w:rsidR="009D1359" w:rsidRPr="0004060E" w14:paraId="258523EB" w14:textId="77777777" w:rsidTr="00240E82">
        <w:trPr>
          <w:trHeight w:val="288"/>
        </w:trPr>
        <w:tc>
          <w:tcPr>
            <w:tcW w:w="1373" w:type="dxa"/>
            <w:vMerge/>
            <w:vAlign w:val="center"/>
            <w:hideMark/>
          </w:tcPr>
          <w:p w14:paraId="40E1138A" w14:textId="77777777" w:rsidR="009D1359" w:rsidRPr="0004060E" w:rsidRDefault="009D1359" w:rsidP="0004060E">
            <w:pPr>
              <w:rPr>
                <w:rFonts w:ascii="Goudy Old Style" w:hAnsi="Goudy Old Style"/>
                <w:b/>
                <w:bCs/>
                <w:sz w:val="20"/>
                <w:szCs w:val="20"/>
                <w:lang w:val="en-US"/>
                <w14:ligatures w14:val="none"/>
              </w:rPr>
            </w:pPr>
          </w:p>
        </w:tc>
        <w:tc>
          <w:tcPr>
            <w:tcW w:w="0" w:type="auto"/>
            <w:shd w:val="clear" w:color="auto" w:fill="auto"/>
            <w:noWrap/>
            <w:vAlign w:val="bottom"/>
            <w:hideMark/>
          </w:tcPr>
          <w:p w14:paraId="15B77C50" w14:textId="4AB438AE" w:rsidR="009D1359" w:rsidRPr="0004060E" w:rsidRDefault="009D1359" w:rsidP="0004060E">
            <w:pPr>
              <w:rPr>
                <w:rFonts w:ascii="Goudy Old Style" w:hAnsi="Goudy Old Style"/>
                <w:sz w:val="20"/>
                <w:szCs w:val="20"/>
                <w:lang w:val="en-US"/>
                <w14:ligatures w14:val="none"/>
              </w:rPr>
            </w:pPr>
            <w:r w:rsidRPr="0004060E">
              <w:rPr>
                <w:rFonts w:ascii="Goudy Old Style" w:hAnsi="Goudy Old Style"/>
                <w:sz w:val="20"/>
                <w:szCs w:val="20"/>
                <w:lang w:val="en-US"/>
                <w14:ligatures w14:val="none"/>
              </w:rPr>
              <w:t xml:space="preserve">Diabetes </w:t>
            </w:r>
            <w:r w:rsidR="00CE07FD">
              <w:rPr>
                <w:rFonts w:ascii="Goudy Old Style" w:hAnsi="Goudy Old Style"/>
                <w:sz w:val="20"/>
                <w:szCs w:val="20"/>
                <w:lang w:val="en-US"/>
                <w14:ligatures w14:val="none"/>
              </w:rPr>
              <w:t>Mellitus</w:t>
            </w:r>
          </w:p>
        </w:tc>
        <w:tc>
          <w:tcPr>
            <w:tcW w:w="3166" w:type="dxa"/>
            <w:shd w:val="clear" w:color="auto" w:fill="auto"/>
            <w:noWrap/>
            <w:vAlign w:val="bottom"/>
            <w:hideMark/>
          </w:tcPr>
          <w:p w14:paraId="3B28C11C" w14:textId="77777777" w:rsidR="009D1359" w:rsidRPr="0004060E" w:rsidRDefault="009D1359" w:rsidP="0004060E">
            <w:pPr>
              <w:jc w:val="center"/>
              <w:rPr>
                <w:rFonts w:ascii="Goudy Old Style" w:hAnsi="Goudy Old Style"/>
                <w:sz w:val="20"/>
                <w:szCs w:val="20"/>
                <w:lang w:val="en-US"/>
                <w14:ligatures w14:val="none"/>
              </w:rPr>
            </w:pPr>
            <w:r w:rsidRPr="0004060E">
              <w:rPr>
                <w:rFonts w:ascii="Goudy Old Style" w:hAnsi="Goudy Old Style"/>
                <w:sz w:val="20"/>
                <w:szCs w:val="20"/>
                <w:lang w:val="en-US"/>
                <w14:ligatures w14:val="none"/>
              </w:rPr>
              <w:t>32 (32.7)</w:t>
            </w:r>
          </w:p>
        </w:tc>
      </w:tr>
      <w:tr w:rsidR="009D1359" w:rsidRPr="0004060E" w14:paraId="7CB4A9FF" w14:textId="77777777" w:rsidTr="00240E82">
        <w:trPr>
          <w:trHeight w:val="288"/>
        </w:trPr>
        <w:tc>
          <w:tcPr>
            <w:tcW w:w="1373" w:type="dxa"/>
            <w:vMerge/>
            <w:vAlign w:val="center"/>
            <w:hideMark/>
          </w:tcPr>
          <w:p w14:paraId="7FBFB28D" w14:textId="77777777" w:rsidR="009D1359" w:rsidRPr="0004060E" w:rsidRDefault="009D1359" w:rsidP="0004060E">
            <w:pPr>
              <w:rPr>
                <w:rFonts w:ascii="Goudy Old Style" w:hAnsi="Goudy Old Style"/>
                <w:b/>
                <w:bCs/>
                <w:sz w:val="20"/>
                <w:szCs w:val="20"/>
                <w:lang w:val="en-US"/>
                <w14:ligatures w14:val="none"/>
              </w:rPr>
            </w:pPr>
          </w:p>
        </w:tc>
        <w:tc>
          <w:tcPr>
            <w:tcW w:w="0" w:type="auto"/>
            <w:shd w:val="clear" w:color="auto" w:fill="auto"/>
            <w:noWrap/>
            <w:vAlign w:val="bottom"/>
            <w:hideMark/>
          </w:tcPr>
          <w:p w14:paraId="7831D6A9" w14:textId="6B097BF0" w:rsidR="009D1359" w:rsidRPr="0004060E" w:rsidRDefault="009D1359" w:rsidP="0004060E">
            <w:pPr>
              <w:rPr>
                <w:rFonts w:ascii="Goudy Old Style" w:hAnsi="Goudy Old Style"/>
                <w:sz w:val="20"/>
                <w:szCs w:val="20"/>
                <w:lang w:val="en-US"/>
                <w14:ligatures w14:val="none"/>
              </w:rPr>
            </w:pPr>
            <w:r w:rsidRPr="0004060E">
              <w:rPr>
                <w:rFonts w:ascii="Goudy Old Style" w:hAnsi="Goudy Old Style"/>
                <w:sz w:val="20"/>
                <w:szCs w:val="20"/>
                <w:lang w:val="en-US"/>
                <w14:ligatures w14:val="none"/>
              </w:rPr>
              <w:t>H</w:t>
            </w:r>
            <w:r w:rsidR="00551AA8" w:rsidRPr="0004060E">
              <w:rPr>
                <w:rFonts w:ascii="Goudy Old Style" w:hAnsi="Goudy Old Style"/>
                <w:sz w:val="20"/>
                <w:szCs w:val="20"/>
                <w:lang w:val="en-US"/>
                <w14:ligatures w14:val="none"/>
              </w:rPr>
              <w:t>y</w:t>
            </w:r>
            <w:r w:rsidRPr="0004060E">
              <w:rPr>
                <w:rFonts w:ascii="Goudy Old Style" w:hAnsi="Goudy Old Style"/>
                <w:sz w:val="20"/>
                <w:szCs w:val="20"/>
                <w:lang w:val="en-US"/>
                <w14:ligatures w14:val="none"/>
              </w:rPr>
              <w:t>pertension</w:t>
            </w:r>
          </w:p>
        </w:tc>
        <w:tc>
          <w:tcPr>
            <w:tcW w:w="3166" w:type="dxa"/>
            <w:shd w:val="clear" w:color="auto" w:fill="auto"/>
            <w:noWrap/>
            <w:vAlign w:val="bottom"/>
            <w:hideMark/>
          </w:tcPr>
          <w:p w14:paraId="2B0512F2" w14:textId="77777777" w:rsidR="009D1359" w:rsidRPr="0004060E" w:rsidRDefault="009D1359" w:rsidP="0004060E">
            <w:pPr>
              <w:jc w:val="center"/>
              <w:rPr>
                <w:rFonts w:ascii="Goudy Old Style" w:hAnsi="Goudy Old Style"/>
                <w:sz w:val="20"/>
                <w:szCs w:val="20"/>
                <w:lang w:val="en-US"/>
                <w14:ligatures w14:val="none"/>
              </w:rPr>
            </w:pPr>
            <w:r w:rsidRPr="0004060E">
              <w:rPr>
                <w:rFonts w:ascii="Goudy Old Style" w:hAnsi="Goudy Old Style"/>
                <w:sz w:val="20"/>
                <w:szCs w:val="20"/>
                <w:lang w:val="en-US"/>
                <w14:ligatures w14:val="none"/>
              </w:rPr>
              <w:t>26 (26.5)</w:t>
            </w:r>
          </w:p>
        </w:tc>
      </w:tr>
      <w:tr w:rsidR="009D1359" w:rsidRPr="0004060E" w14:paraId="56C9277C" w14:textId="77777777" w:rsidTr="00240E82">
        <w:trPr>
          <w:trHeight w:val="288"/>
        </w:trPr>
        <w:tc>
          <w:tcPr>
            <w:tcW w:w="1373" w:type="dxa"/>
            <w:vMerge/>
            <w:vAlign w:val="center"/>
            <w:hideMark/>
          </w:tcPr>
          <w:p w14:paraId="39EAA4E8" w14:textId="77777777" w:rsidR="009D1359" w:rsidRPr="0004060E" w:rsidRDefault="009D1359" w:rsidP="0004060E">
            <w:pPr>
              <w:rPr>
                <w:rFonts w:ascii="Goudy Old Style" w:hAnsi="Goudy Old Style"/>
                <w:b/>
                <w:bCs/>
                <w:sz w:val="20"/>
                <w:szCs w:val="20"/>
                <w:lang w:val="en-US"/>
                <w14:ligatures w14:val="none"/>
              </w:rPr>
            </w:pPr>
          </w:p>
        </w:tc>
        <w:tc>
          <w:tcPr>
            <w:tcW w:w="0" w:type="auto"/>
            <w:shd w:val="clear" w:color="auto" w:fill="auto"/>
            <w:noWrap/>
            <w:vAlign w:val="bottom"/>
            <w:hideMark/>
          </w:tcPr>
          <w:p w14:paraId="79C52920" w14:textId="38A95176" w:rsidR="009D1359" w:rsidRPr="0004060E" w:rsidRDefault="009D1359" w:rsidP="0004060E">
            <w:pPr>
              <w:rPr>
                <w:rFonts w:ascii="Goudy Old Style" w:hAnsi="Goudy Old Style"/>
                <w:sz w:val="20"/>
                <w:szCs w:val="20"/>
                <w:lang w:val="en-US"/>
                <w14:ligatures w14:val="none"/>
              </w:rPr>
            </w:pPr>
            <w:r w:rsidRPr="0004060E">
              <w:rPr>
                <w:rFonts w:ascii="Goudy Old Style" w:hAnsi="Goudy Old Style"/>
                <w:sz w:val="20"/>
                <w:szCs w:val="20"/>
                <w:lang w:val="en-US"/>
                <w14:ligatures w14:val="none"/>
              </w:rPr>
              <w:t>Liver</w:t>
            </w:r>
            <w:r w:rsidR="00551AA8" w:rsidRPr="0004060E">
              <w:rPr>
                <w:rFonts w:ascii="Goudy Old Style" w:hAnsi="Goudy Old Style"/>
                <w:sz w:val="20"/>
                <w:szCs w:val="20"/>
                <w:lang w:val="en-US"/>
                <w14:ligatures w14:val="none"/>
              </w:rPr>
              <w:t xml:space="preserve"> Disease </w:t>
            </w:r>
          </w:p>
        </w:tc>
        <w:tc>
          <w:tcPr>
            <w:tcW w:w="3166" w:type="dxa"/>
            <w:shd w:val="clear" w:color="auto" w:fill="auto"/>
            <w:noWrap/>
            <w:vAlign w:val="bottom"/>
            <w:hideMark/>
          </w:tcPr>
          <w:p w14:paraId="1BC7B075" w14:textId="77777777" w:rsidR="009D1359" w:rsidRPr="0004060E" w:rsidRDefault="009D1359" w:rsidP="0004060E">
            <w:pPr>
              <w:jc w:val="center"/>
              <w:rPr>
                <w:rFonts w:ascii="Goudy Old Style" w:hAnsi="Goudy Old Style"/>
                <w:sz w:val="20"/>
                <w:szCs w:val="20"/>
                <w:lang w:val="en-US"/>
                <w14:ligatures w14:val="none"/>
              </w:rPr>
            </w:pPr>
            <w:r w:rsidRPr="0004060E">
              <w:rPr>
                <w:rFonts w:ascii="Goudy Old Style" w:hAnsi="Goudy Old Style"/>
                <w:sz w:val="20"/>
                <w:szCs w:val="20"/>
                <w:lang w:val="en-US"/>
                <w14:ligatures w14:val="none"/>
              </w:rPr>
              <w:t>6 (6.1)</w:t>
            </w:r>
          </w:p>
        </w:tc>
      </w:tr>
      <w:tr w:rsidR="009D1359" w:rsidRPr="0004060E" w14:paraId="62739958" w14:textId="77777777" w:rsidTr="00240E82">
        <w:trPr>
          <w:trHeight w:val="288"/>
        </w:trPr>
        <w:tc>
          <w:tcPr>
            <w:tcW w:w="1373" w:type="dxa"/>
            <w:vMerge/>
            <w:vAlign w:val="center"/>
            <w:hideMark/>
          </w:tcPr>
          <w:p w14:paraId="7DFC959D" w14:textId="77777777" w:rsidR="009D1359" w:rsidRPr="0004060E" w:rsidRDefault="009D1359" w:rsidP="0004060E">
            <w:pPr>
              <w:rPr>
                <w:rFonts w:ascii="Goudy Old Style" w:hAnsi="Goudy Old Style"/>
                <w:b/>
                <w:bCs/>
                <w:sz w:val="20"/>
                <w:szCs w:val="20"/>
                <w:lang w:val="en-US"/>
                <w14:ligatures w14:val="none"/>
              </w:rPr>
            </w:pPr>
          </w:p>
        </w:tc>
        <w:tc>
          <w:tcPr>
            <w:tcW w:w="0" w:type="auto"/>
            <w:shd w:val="clear" w:color="auto" w:fill="auto"/>
            <w:noWrap/>
            <w:vAlign w:val="bottom"/>
            <w:hideMark/>
          </w:tcPr>
          <w:p w14:paraId="5E049282" w14:textId="759D24AF" w:rsidR="009D1359" w:rsidRPr="0004060E" w:rsidRDefault="009D1359" w:rsidP="0004060E">
            <w:pPr>
              <w:rPr>
                <w:rFonts w:ascii="Goudy Old Style" w:hAnsi="Goudy Old Style"/>
                <w:sz w:val="20"/>
                <w:szCs w:val="20"/>
                <w:lang w:val="en-US"/>
                <w14:ligatures w14:val="none"/>
              </w:rPr>
            </w:pPr>
            <w:r w:rsidRPr="0004060E">
              <w:rPr>
                <w:rFonts w:ascii="Goudy Old Style" w:hAnsi="Goudy Old Style"/>
                <w:sz w:val="20"/>
                <w:szCs w:val="20"/>
                <w:lang w:val="en-US"/>
                <w14:ligatures w14:val="none"/>
              </w:rPr>
              <w:t>CVC</w:t>
            </w:r>
          </w:p>
        </w:tc>
        <w:tc>
          <w:tcPr>
            <w:tcW w:w="3166" w:type="dxa"/>
            <w:shd w:val="clear" w:color="auto" w:fill="auto"/>
            <w:noWrap/>
            <w:vAlign w:val="bottom"/>
            <w:hideMark/>
          </w:tcPr>
          <w:p w14:paraId="70756369" w14:textId="77777777" w:rsidR="009D1359" w:rsidRPr="0004060E" w:rsidRDefault="009D1359" w:rsidP="0004060E">
            <w:pPr>
              <w:jc w:val="center"/>
              <w:rPr>
                <w:rFonts w:ascii="Goudy Old Style" w:hAnsi="Goudy Old Style"/>
                <w:sz w:val="20"/>
                <w:szCs w:val="20"/>
                <w:lang w:val="en-US"/>
                <w14:ligatures w14:val="none"/>
              </w:rPr>
            </w:pPr>
            <w:r w:rsidRPr="0004060E">
              <w:rPr>
                <w:rFonts w:ascii="Goudy Old Style" w:hAnsi="Goudy Old Style"/>
                <w:sz w:val="20"/>
                <w:szCs w:val="20"/>
                <w:lang w:val="en-US"/>
                <w14:ligatures w14:val="none"/>
              </w:rPr>
              <w:t>24 (24.5)</w:t>
            </w:r>
          </w:p>
        </w:tc>
      </w:tr>
      <w:tr w:rsidR="009D1359" w:rsidRPr="0004060E" w14:paraId="2C778DFB" w14:textId="77777777" w:rsidTr="00240E82">
        <w:trPr>
          <w:trHeight w:val="288"/>
        </w:trPr>
        <w:tc>
          <w:tcPr>
            <w:tcW w:w="3921" w:type="dxa"/>
            <w:gridSpan w:val="2"/>
            <w:shd w:val="clear" w:color="auto" w:fill="auto"/>
            <w:noWrap/>
            <w:vAlign w:val="center"/>
            <w:hideMark/>
          </w:tcPr>
          <w:p w14:paraId="07CEBBE2" w14:textId="77777777" w:rsidR="009D1359" w:rsidRPr="0004060E" w:rsidRDefault="009D1359" w:rsidP="0004060E">
            <w:pPr>
              <w:rPr>
                <w:rFonts w:ascii="Goudy Old Style" w:hAnsi="Goudy Old Style"/>
                <w:b/>
                <w:bCs/>
                <w:sz w:val="20"/>
                <w:szCs w:val="20"/>
                <w:lang w:val="en-US"/>
                <w14:ligatures w14:val="none"/>
              </w:rPr>
            </w:pPr>
            <w:r w:rsidRPr="0004060E">
              <w:rPr>
                <w:rFonts w:ascii="Goudy Old Style" w:hAnsi="Goudy Old Style"/>
                <w:b/>
                <w:bCs/>
                <w:sz w:val="20"/>
                <w:szCs w:val="20"/>
                <w:lang w:val="en-US"/>
                <w14:ligatures w14:val="none"/>
              </w:rPr>
              <w:t>Room</w:t>
            </w:r>
          </w:p>
        </w:tc>
        <w:tc>
          <w:tcPr>
            <w:tcW w:w="3166" w:type="dxa"/>
            <w:shd w:val="clear" w:color="auto" w:fill="auto"/>
            <w:noWrap/>
            <w:vAlign w:val="bottom"/>
            <w:hideMark/>
          </w:tcPr>
          <w:p w14:paraId="210A8AB2" w14:textId="77777777" w:rsidR="009D1359" w:rsidRPr="0004060E" w:rsidRDefault="009D1359" w:rsidP="0004060E">
            <w:pPr>
              <w:jc w:val="center"/>
              <w:rPr>
                <w:rFonts w:ascii="Goudy Old Style" w:hAnsi="Goudy Old Style"/>
                <w:sz w:val="20"/>
                <w:szCs w:val="20"/>
                <w:lang w:val="en-US"/>
                <w14:ligatures w14:val="none"/>
              </w:rPr>
            </w:pPr>
            <w:r w:rsidRPr="0004060E">
              <w:rPr>
                <w:rFonts w:ascii="Goudy Old Style" w:hAnsi="Goudy Old Style"/>
                <w:sz w:val="20"/>
                <w:szCs w:val="20"/>
                <w:lang w:val="en-US"/>
                <w14:ligatures w14:val="none"/>
              </w:rPr>
              <w:t> </w:t>
            </w:r>
          </w:p>
        </w:tc>
      </w:tr>
      <w:tr w:rsidR="009D1359" w:rsidRPr="0004060E" w14:paraId="510701DA" w14:textId="77777777" w:rsidTr="00240E82">
        <w:trPr>
          <w:trHeight w:val="288"/>
        </w:trPr>
        <w:tc>
          <w:tcPr>
            <w:tcW w:w="1373" w:type="dxa"/>
            <w:vMerge w:val="restart"/>
            <w:shd w:val="clear" w:color="auto" w:fill="auto"/>
            <w:noWrap/>
            <w:vAlign w:val="center"/>
            <w:hideMark/>
          </w:tcPr>
          <w:p w14:paraId="018E9C52" w14:textId="77777777" w:rsidR="009D1359" w:rsidRPr="0004060E" w:rsidRDefault="009D1359" w:rsidP="0004060E">
            <w:pPr>
              <w:jc w:val="center"/>
              <w:rPr>
                <w:rFonts w:ascii="Goudy Old Style" w:hAnsi="Goudy Old Style"/>
                <w:b/>
                <w:bCs/>
                <w:sz w:val="20"/>
                <w:szCs w:val="20"/>
                <w:lang w:val="en-US"/>
                <w14:ligatures w14:val="none"/>
              </w:rPr>
            </w:pPr>
            <w:r w:rsidRPr="0004060E">
              <w:rPr>
                <w:rFonts w:ascii="Goudy Old Style" w:hAnsi="Goudy Old Style"/>
                <w:b/>
                <w:bCs/>
                <w:sz w:val="20"/>
                <w:szCs w:val="20"/>
                <w:lang w:val="en-US"/>
                <w14:ligatures w14:val="none"/>
              </w:rPr>
              <w:t> </w:t>
            </w:r>
          </w:p>
        </w:tc>
        <w:tc>
          <w:tcPr>
            <w:tcW w:w="0" w:type="auto"/>
            <w:shd w:val="clear" w:color="auto" w:fill="auto"/>
            <w:noWrap/>
            <w:vAlign w:val="center"/>
            <w:hideMark/>
          </w:tcPr>
          <w:p w14:paraId="570FA9DD" w14:textId="1CB8B8FB" w:rsidR="009D1359" w:rsidRPr="0004060E" w:rsidRDefault="009D1359" w:rsidP="0004060E">
            <w:pPr>
              <w:rPr>
                <w:rFonts w:ascii="Goudy Old Style" w:hAnsi="Goudy Old Style"/>
                <w:sz w:val="20"/>
                <w:szCs w:val="20"/>
                <w:lang w:val="en-US"/>
                <w14:ligatures w14:val="none"/>
              </w:rPr>
            </w:pPr>
            <w:r w:rsidRPr="0004060E">
              <w:rPr>
                <w:rFonts w:ascii="Goudy Old Style" w:hAnsi="Goudy Old Style"/>
                <w:sz w:val="20"/>
                <w:szCs w:val="20"/>
                <w:lang w:val="en-US"/>
                <w14:ligatures w14:val="none"/>
              </w:rPr>
              <w:t>ICU</w:t>
            </w:r>
          </w:p>
        </w:tc>
        <w:tc>
          <w:tcPr>
            <w:tcW w:w="3166" w:type="dxa"/>
            <w:shd w:val="clear" w:color="auto" w:fill="auto"/>
            <w:noWrap/>
            <w:vAlign w:val="center"/>
            <w:hideMark/>
          </w:tcPr>
          <w:p w14:paraId="0EF46658" w14:textId="77777777" w:rsidR="009D1359" w:rsidRPr="0004060E" w:rsidRDefault="009D1359" w:rsidP="0004060E">
            <w:pPr>
              <w:jc w:val="center"/>
              <w:rPr>
                <w:rFonts w:ascii="Goudy Old Style" w:hAnsi="Goudy Old Style"/>
                <w:sz w:val="20"/>
                <w:szCs w:val="20"/>
                <w:lang w:val="en-US"/>
                <w14:ligatures w14:val="none"/>
              </w:rPr>
            </w:pPr>
            <w:r w:rsidRPr="0004060E">
              <w:rPr>
                <w:rFonts w:ascii="Goudy Old Style" w:hAnsi="Goudy Old Style"/>
                <w:sz w:val="20"/>
                <w:szCs w:val="20"/>
                <w:lang w:val="en-US"/>
                <w14:ligatures w14:val="none"/>
              </w:rPr>
              <w:t>40 (40.8)</w:t>
            </w:r>
          </w:p>
        </w:tc>
      </w:tr>
      <w:tr w:rsidR="009D1359" w:rsidRPr="0004060E" w14:paraId="54FC8894" w14:textId="77777777" w:rsidTr="00240E82">
        <w:trPr>
          <w:trHeight w:val="288"/>
        </w:trPr>
        <w:tc>
          <w:tcPr>
            <w:tcW w:w="1373" w:type="dxa"/>
            <w:vMerge/>
            <w:vAlign w:val="center"/>
            <w:hideMark/>
          </w:tcPr>
          <w:p w14:paraId="14DEF7C4" w14:textId="77777777" w:rsidR="009D1359" w:rsidRPr="0004060E" w:rsidRDefault="009D1359" w:rsidP="0004060E">
            <w:pPr>
              <w:rPr>
                <w:rFonts w:ascii="Goudy Old Style" w:hAnsi="Goudy Old Style"/>
                <w:b/>
                <w:bCs/>
                <w:sz w:val="20"/>
                <w:szCs w:val="20"/>
                <w:lang w:val="en-US"/>
                <w14:ligatures w14:val="none"/>
              </w:rPr>
            </w:pPr>
          </w:p>
        </w:tc>
        <w:tc>
          <w:tcPr>
            <w:tcW w:w="0" w:type="auto"/>
            <w:shd w:val="clear" w:color="auto" w:fill="auto"/>
            <w:noWrap/>
            <w:vAlign w:val="bottom"/>
            <w:hideMark/>
          </w:tcPr>
          <w:p w14:paraId="48D3DF70" w14:textId="77777777" w:rsidR="009D1359" w:rsidRPr="0004060E" w:rsidRDefault="009D1359" w:rsidP="0004060E">
            <w:pPr>
              <w:rPr>
                <w:rFonts w:ascii="Goudy Old Style" w:hAnsi="Goudy Old Style"/>
                <w:sz w:val="20"/>
                <w:szCs w:val="20"/>
                <w:lang w:val="en-US"/>
                <w14:ligatures w14:val="none"/>
              </w:rPr>
            </w:pPr>
            <w:r w:rsidRPr="0004060E">
              <w:rPr>
                <w:rFonts w:ascii="Goudy Old Style" w:hAnsi="Goudy Old Style"/>
                <w:sz w:val="20"/>
                <w:szCs w:val="20"/>
                <w:lang w:val="en-US"/>
                <w14:ligatures w14:val="none"/>
              </w:rPr>
              <w:t>Ward</w:t>
            </w:r>
          </w:p>
        </w:tc>
        <w:tc>
          <w:tcPr>
            <w:tcW w:w="3166" w:type="dxa"/>
            <w:shd w:val="clear" w:color="auto" w:fill="auto"/>
            <w:noWrap/>
            <w:vAlign w:val="bottom"/>
            <w:hideMark/>
          </w:tcPr>
          <w:p w14:paraId="032F9F3D" w14:textId="77777777" w:rsidR="009D1359" w:rsidRPr="0004060E" w:rsidRDefault="009D1359" w:rsidP="0004060E">
            <w:pPr>
              <w:jc w:val="center"/>
              <w:rPr>
                <w:rFonts w:ascii="Goudy Old Style" w:hAnsi="Goudy Old Style"/>
                <w:sz w:val="20"/>
                <w:szCs w:val="20"/>
                <w:lang w:val="en-US"/>
                <w14:ligatures w14:val="none"/>
              </w:rPr>
            </w:pPr>
            <w:r w:rsidRPr="0004060E">
              <w:rPr>
                <w:rFonts w:ascii="Goudy Old Style" w:hAnsi="Goudy Old Style"/>
                <w:sz w:val="20"/>
                <w:szCs w:val="20"/>
                <w:lang w:val="en-US"/>
                <w14:ligatures w14:val="none"/>
              </w:rPr>
              <w:t>58 (59.2)</w:t>
            </w:r>
          </w:p>
        </w:tc>
      </w:tr>
      <w:tr w:rsidR="009D1359" w:rsidRPr="0004060E" w14:paraId="4CA7B535" w14:textId="77777777" w:rsidTr="00240E82">
        <w:trPr>
          <w:trHeight w:val="288"/>
        </w:trPr>
        <w:tc>
          <w:tcPr>
            <w:tcW w:w="7087" w:type="dxa"/>
            <w:gridSpan w:val="3"/>
            <w:shd w:val="clear" w:color="auto" w:fill="auto"/>
            <w:noWrap/>
            <w:vAlign w:val="bottom"/>
            <w:hideMark/>
          </w:tcPr>
          <w:p w14:paraId="7710700E" w14:textId="77777777" w:rsidR="009D1359" w:rsidRPr="0004060E" w:rsidRDefault="009D1359" w:rsidP="0004060E">
            <w:pPr>
              <w:rPr>
                <w:rFonts w:ascii="Goudy Old Style" w:hAnsi="Goudy Old Style"/>
                <w:b/>
                <w:bCs/>
                <w:sz w:val="20"/>
                <w:szCs w:val="20"/>
                <w:lang w:val="en-US"/>
                <w14:ligatures w14:val="none"/>
              </w:rPr>
            </w:pPr>
            <w:r w:rsidRPr="0004060E">
              <w:rPr>
                <w:rFonts w:ascii="Goudy Old Style" w:hAnsi="Goudy Old Style"/>
                <w:b/>
                <w:bCs/>
                <w:sz w:val="20"/>
                <w:szCs w:val="20"/>
                <w:lang w:val="en-US"/>
                <w14:ligatures w14:val="none"/>
              </w:rPr>
              <w:t>Identified Microorganism</w:t>
            </w:r>
          </w:p>
        </w:tc>
      </w:tr>
      <w:tr w:rsidR="009D1359" w:rsidRPr="0004060E" w14:paraId="0877436D" w14:textId="77777777" w:rsidTr="00240E82">
        <w:trPr>
          <w:trHeight w:val="288"/>
        </w:trPr>
        <w:tc>
          <w:tcPr>
            <w:tcW w:w="1373" w:type="dxa"/>
            <w:vMerge w:val="restart"/>
            <w:shd w:val="clear" w:color="auto" w:fill="auto"/>
            <w:noWrap/>
            <w:vAlign w:val="bottom"/>
            <w:hideMark/>
          </w:tcPr>
          <w:p w14:paraId="58DF904A" w14:textId="77777777" w:rsidR="009D1359" w:rsidRPr="0004060E" w:rsidRDefault="009D1359" w:rsidP="0004060E">
            <w:pPr>
              <w:jc w:val="center"/>
              <w:rPr>
                <w:rFonts w:ascii="Goudy Old Style" w:hAnsi="Goudy Old Style"/>
                <w:sz w:val="20"/>
                <w:szCs w:val="20"/>
                <w:lang w:val="en-US"/>
                <w14:ligatures w14:val="none"/>
              </w:rPr>
            </w:pPr>
            <w:r w:rsidRPr="0004060E">
              <w:rPr>
                <w:rFonts w:ascii="Goudy Old Style" w:hAnsi="Goudy Old Style"/>
                <w:sz w:val="20"/>
                <w:szCs w:val="20"/>
                <w:lang w:val="en-US"/>
                <w14:ligatures w14:val="none"/>
              </w:rPr>
              <w:t> </w:t>
            </w:r>
          </w:p>
        </w:tc>
        <w:tc>
          <w:tcPr>
            <w:tcW w:w="0" w:type="auto"/>
            <w:shd w:val="clear" w:color="auto" w:fill="auto"/>
            <w:noWrap/>
            <w:vAlign w:val="bottom"/>
            <w:hideMark/>
          </w:tcPr>
          <w:p w14:paraId="13AF3F27" w14:textId="77777777" w:rsidR="009D1359" w:rsidRPr="0004060E" w:rsidRDefault="009D1359" w:rsidP="0004060E">
            <w:pPr>
              <w:rPr>
                <w:rFonts w:ascii="Goudy Old Style" w:hAnsi="Goudy Old Style"/>
                <w:i/>
                <w:iCs/>
                <w:sz w:val="20"/>
                <w:szCs w:val="20"/>
                <w:lang w:val="en-US"/>
                <w14:ligatures w14:val="none"/>
              </w:rPr>
            </w:pPr>
            <w:r w:rsidRPr="0004060E">
              <w:rPr>
                <w:rFonts w:ascii="Goudy Old Style" w:hAnsi="Goudy Old Style"/>
                <w:i/>
                <w:iCs/>
                <w:sz w:val="20"/>
                <w:szCs w:val="20"/>
                <w:lang w:val="en-US"/>
                <w14:ligatures w14:val="none"/>
              </w:rPr>
              <w:t>Staphylococcus aureus</w:t>
            </w:r>
          </w:p>
        </w:tc>
        <w:tc>
          <w:tcPr>
            <w:tcW w:w="3166" w:type="dxa"/>
            <w:shd w:val="clear" w:color="auto" w:fill="auto"/>
            <w:noWrap/>
            <w:vAlign w:val="bottom"/>
            <w:hideMark/>
          </w:tcPr>
          <w:p w14:paraId="45166D98" w14:textId="77777777" w:rsidR="009D1359" w:rsidRPr="0004060E" w:rsidRDefault="009D1359" w:rsidP="0004060E">
            <w:pPr>
              <w:jc w:val="center"/>
              <w:rPr>
                <w:rFonts w:ascii="Goudy Old Style" w:hAnsi="Goudy Old Style"/>
                <w:sz w:val="20"/>
                <w:szCs w:val="20"/>
                <w:lang w:val="en-US"/>
                <w14:ligatures w14:val="none"/>
              </w:rPr>
            </w:pPr>
            <w:r w:rsidRPr="0004060E">
              <w:rPr>
                <w:rFonts w:ascii="Goudy Old Style" w:hAnsi="Goudy Old Style"/>
                <w:sz w:val="20"/>
                <w:szCs w:val="20"/>
                <w:lang w:val="en-US"/>
                <w14:ligatures w14:val="none"/>
              </w:rPr>
              <w:t>5 (5.1)</w:t>
            </w:r>
          </w:p>
        </w:tc>
      </w:tr>
      <w:tr w:rsidR="009D1359" w:rsidRPr="0004060E" w14:paraId="6FEFE724" w14:textId="77777777" w:rsidTr="00240E82">
        <w:trPr>
          <w:trHeight w:val="288"/>
        </w:trPr>
        <w:tc>
          <w:tcPr>
            <w:tcW w:w="1373" w:type="dxa"/>
            <w:vMerge/>
            <w:vAlign w:val="center"/>
            <w:hideMark/>
          </w:tcPr>
          <w:p w14:paraId="626272F4" w14:textId="77777777" w:rsidR="009D1359" w:rsidRPr="0004060E" w:rsidRDefault="009D1359" w:rsidP="0004060E">
            <w:pPr>
              <w:rPr>
                <w:rFonts w:ascii="Goudy Old Style" w:hAnsi="Goudy Old Style"/>
                <w:sz w:val="20"/>
                <w:szCs w:val="20"/>
                <w:lang w:val="en-US"/>
                <w14:ligatures w14:val="none"/>
              </w:rPr>
            </w:pPr>
          </w:p>
        </w:tc>
        <w:tc>
          <w:tcPr>
            <w:tcW w:w="0" w:type="auto"/>
            <w:shd w:val="clear" w:color="auto" w:fill="auto"/>
            <w:noWrap/>
            <w:vAlign w:val="bottom"/>
            <w:hideMark/>
          </w:tcPr>
          <w:p w14:paraId="75E0E9FB" w14:textId="77777777" w:rsidR="009D1359" w:rsidRPr="0004060E" w:rsidRDefault="009D1359" w:rsidP="0004060E">
            <w:pPr>
              <w:rPr>
                <w:rFonts w:ascii="Goudy Old Style" w:hAnsi="Goudy Old Style"/>
                <w:i/>
                <w:iCs/>
                <w:sz w:val="20"/>
                <w:szCs w:val="20"/>
                <w:lang w:val="en-US"/>
                <w14:ligatures w14:val="none"/>
              </w:rPr>
            </w:pPr>
            <w:r w:rsidRPr="0004060E">
              <w:rPr>
                <w:rFonts w:ascii="Goudy Old Style" w:hAnsi="Goudy Old Style"/>
                <w:i/>
                <w:iCs/>
                <w:sz w:val="20"/>
                <w:szCs w:val="20"/>
                <w:lang w:val="en-US"/>
                <w14:ligatures w14:val="none"/>
              </w:rPr>
              <w:t>Coagulase-negative Staphylococci</w:t>
            </w:r>
          </w:p>
        </w:tc>
        <w:tc>
          <w:tcPr>
            <w:tcW w:w="3166" w:type="dxa"/>
            <w:shd w:val="clear" w:color="auto" w:fill="auto"/>
            <w:noWrap/>
            <w:vAlign w:val="bottom"/>
            <w:hideMark/>
          </w:tcPr>
          <w:p w14:paraId="507D3F3D" w14:textId="77777777" w:rsidR="009D1359" w:rsidRPr="0004060E" w:rsidRDefault="009D1359" w:rsidP="0004060E">
            <w:pPr>
              <w:jc w:val="center"/>
              <w:rPr>
                <w:rFonts w:ascii="Goudy Old Style" w:hAnsi="Goudy Old Style"/>
                <w:sz w:val="20"/>
                <w:szCs w:val="20"/>
                <w:lang w:val="en-US"/>
                <w14:ligatures w14:val="none"/>
              </w:rPr>
            </w:pPr>
            <w:r w:rsidRPr="0004060E">
              <w:rPr>
                <w:rFonts w:ascii="Goudy Old Style" w:hAnsi="Goudy Old Style"/>
                <w:sz w:val="20"/>
                <w:szCs w:val="20"/>
                <w:lang w:val="en-US"/>
                <w14:ligatures w14:val="none"/>
              </w:rPr>
              <w:t>2 (2.0)</w:t>
            </w:r>
          </w:p>
        </w:tc>
      </w:tr>
      <w:tr w:rsidR="009D1359" w:rsidRPr="0004060E" w14:paraId="4636FBF5" w14:textId="77777777" w:rsidTr="00240E82">
        <w:trPr>
          <w:trHeight w:val="288"/>
        </w:trPr>
        <w:tc>
          <w:tcPr>
            <w:tcW w:w="1373" w:type="dxa"/>
            <w:vMerge/>
            <w:vAlign w:val="center"/>
            <w:hideMark/>
          </w:tcPr>
          <w:p w14:paraId="61834411" w14:textId="77777777" w:rsidR="009D1359" w:rsidRPr="0004060E" w:rsidRDefault="009D1359" w:rsidP="0004060E">
            <w:pPr>
              <w:rPr>
                <w:rFonts w:ascii="Goudy Old Style" w:hAnsi="Goudy Old Style"/>
                <w:sz w:val="20"/>
                <w:szCs w:val="20"/>
                <w:lang w:val="en-US"/>
                <w14:ligatures w14:val="none"/>
              </w:rPr>
            </w:pPr>
          </w:p>
        </w:tc>
        <w:tc>
          <w:tcPr>
            <w:tcW w:w="0" w:type="auto"/>
            <w:shd w:val="clear" w:color="auto" w:fill="auto"/>
            <w:noWrap/>
            <w:vAlign w:val="bottom"/>
            <w:hideMark/>
          </w:tcPr>
          <w:p w14:paraId="03D720EA" w14:textId="77777777" w:rsidR="009D1359" w:rsidRPr="0004060E" w:rsidRDefault="009D1359" w:rsidP="0004060E">
            <w:pPr>
              <w:rPr>
                <w:rFonts w:ascii="Goudy Old Style" w:hAnsi="Goudy Old Style"/>
                <w:i/>
                <w:iCs/>
                <w:sz w:val="20"/>
                <w:szCs w:val="20"/>
                <w:lang w:val="en-US"/>
                <w14:ligatures w14:val="none"/>
              </w:rPr>
            </w:pPr>
            <w:r w:rsidRPr="0004060E">
              <w:rPr>
                <w:rFonts w:ascii="Goudy Old Style" w:hAnsi="Goudy Old Style"/>
                <w:i/>
                <w:iCs/>
                <w:sz w:val="20"/>
                <w:szCs w:val="20"/>
                <w:lang w:val="en-US"/>
                <w14:ligatures w14:val="none"/>
              </w:rPr>
              <w:t>Escherichia coli</w:t>
            </w:r>
          </w:p>
        </w:tc>
        <w:tc>
          <w:tcPr>
            <w:tcW w:w="3166" w:type="dxa"/>
            <w:shd w:val="clear" w:color="auto" w:fill="auto"/>
            <w:noWrap/>
            <w:vAlign w:val="bottom"/>
            <w:hideMark/>
          </w:tcPr>
          <w:p w14:paraId="6F165139" w14:textId="77777777" w:rsidR="009D1359" w:rsidRPr="0004060E" w:rsidRDefault="009D1359" w:rsidP="0004060E">
            <w:pPr>
              <w:jc w:val="center"/>
              <w:rPr>
                <w:rFonts w:ascii="Goudy Old Style" w:hAnsi="Goudy Old Style"/>
                <w:sz w:val="20"/>
                <w:szCs w:val="20"/>
                <w:lang w:val="en-US"/>
                <w14:ligatures w14:val="none"/>
              </w:rPr>
            </w:pPr>
            <w:r w:rsidRPr="0004060E">
              <w:rPr>
                <w:rFonts w:ascii="Goudy Old Style" w:hAnsi="Goudy Old Style"/>
                <w:sz w:val="20"/>
                <w:szCs w:val="20"/>
                <w:lang w:val="en-US"/>
                <w14:ligatures w14:val="none"/>
              </w:rPr>
              <w:t>2 (2.0)</w:t>
            </w:r>
          </w:p>
        </w:tc>
      </w:tr>
      <w:tr w:rsidR="009D1359" w:rsidRPr="0004060E" w14:paraId="43CD310D" w14:textId="77777777" w:rsidTr="00240E82">
        <w:trPr>
          <w:trHeight w:val="288"/>
        </w:trPr>
        <w:tc>
          <w:tcPr>
            <w:tcW w:w="1373" w:type="dxa"/>
            <w:vMerge/>
            <w:vAlign w:val="center"/>
            <w:hideMark/>
          </w:tcPr>
          <w:p w14:paraId="466CB068" w14:textId="77777777" w:rsidR="009D1359" w:rsidRPr="0004060E" w:rsidRDefault="009D1359" w:rsidP="0004060E">
            <w:pPr>
              <w:rPr>
                <w:rFonts w:ascii="Goudy Old Style" w:hAnsi="Goudy Old Style"/>
                <w:sz w:val="20"/>
                <w:szCs w:val="20"/>
                <w:lang w:val="en-US"/>
                <w14:ligatures w14:val="none"/>
              </w:rPr>
            </w:pPr>
          </w:p>
        </w:tc>
        <w:tc>
          <w:tcPr>
            <w:tcW w:w="0" w:type="auto"/>
            <w:shd w:val="clear" w:color="auto" w:fill="auto"/>
            <w:noWrap/>
            <w:vAlign w:val="bottom"/>
            <w:hideMark/>
          </w:tcPr>
          <w:p w14:paraId="52B86DC8" w14:textId="77777777" w:rsidR="009D1359" w:rsidRPr="0004060E" w:rsidRDefault="009D1359" w:rsidP="0004060E">
            <w:pPr>
              <w:rPr>
                <w:rFonts w:ascii="Goudy Old Style" w:hAnsi="Goudy Old Style"/>
                <w:i/>
                <w:iCs/>
                <w:sz w:val="20"/>
                <w:szCs w:val="20"/>
                <w:lang w:val="en-US"/>
                <w14:ligatures w14:val="none"/>
              </w:rPr>
            </w:pPr>
            <w:r w:rsidRPr="0004060E">
              <w:rPr>
                <w:rFonts w:ascii="Goudy Old Style" w:hAnsi="Goudy Old Style"/>
                <w:i/>
                <w:iCs/>
                <w:sz w:val="20"/>
                <w:szCs w:val="20"/>
                <w:lang w:val="en-US"/>
                <w14:ligatures w14:val="none"/>
              </w:rPr>
              <w:t>Acinetobacter baumannii</w:t>
            </w:r>
          </w:p>
        </w:tc>
        <w:tc>
          <w:tcPr>
            <w:tcW w:w="3166" w:type="dxa"/>
            <w:shd w:val="clear" w:color="auto" w:fill="auto"/>
            <w:noWrap/>
            <w:vAlign w:val="bottom"/>
            <w:hideMark/>
          </w:tcPr>
          <w:p w14:paraId="08586FFF" w14:textId="77777777" w:rsidR="009D1359" w:rsidRPr="0004060E" w:rsidRDefault="009D1359" w:rsidP="0004060E">
            <w:pPr>
              <w:jc w:val="center"/>
              <w:rPr>
                <w:rFonts w:ascii="Goudy Old Style" w:hAnsi="Goudy Old Style"/>
                <w:sz w:val="20"/>
                <w:szCs w:val="20"/>
                <w:lang w:val="en-US"/>
                <w14:ligatures w14:val="none"/>
              </w:rPr>
            </w:pPr>
            <w:r w:rsidRPr="0004060E">
              <w:rPr>
                <w:rFonts w:ascii="Goudy Old Style" w:hAnsi="Goudy Old Style"/>
                <w:sz w:val="20"/>
                <w:szCs w:val="20"/>
                <w:lang w:val="en-US"/>
                <w14:ligatures w14:val="none"/>
              </w:rPr>
              <w:t>1 (1.0)</w:t>
            </w:r>
          </w:p>
        </w:tc>
      </w:tr>
      <w:tr w:rsidR="009D1359" w:rsidRPr="0004060E" w14:paraId="4D726BF7" w14:textId="77777777" w:rsidTr="00240E82">
        <w:trPr>
          <w:trHeight w:val="288"/>
        </w:trPr>
        <w:tc>
          <w:tcPr>
            <w:tcW w:w="1373" w:type="dxa"/>
            <w:vMerge/>
            <w:vAlign w:val="center"/>
            <w:hideMark/>
          </w:tcPr>
          <w:p w14:paraId="31DF8808" w14:textId="77777777" w:rsidR="009D1359" w:rsidRPr="0004060E" w:rsidRDefault="009D1359" w:rsidP="0004060E">
            <w:pPr>
              <w:rPr>
                <w:rFonts w:ascii="Goudy Old Style" w:hAnsi="Goudy Old Style"/>
                <w:sz w:val="20"/>
                <w:szCs w:val="20"/>
                <w:lang w:val="en-US"/>
                <w14:ligatures w14:val="none"/>
              </w:rPr>
            </w:pPr>
          </w:p>
        </w:tc>
        <w:tc>
          <w:tcPr>
            <w:tcW w:w="0" w:type="auto"/>
            <w:shd w:val="clear" w:color="auto" w:fill="auto"/>
            <w:noWrap/>
            <w:vAlign w:val="bottom"/>
            <w:hideMark/>
          </w:tcPr>
          <w:p w14:paraId="6772593F" w14:textId="77777777" w:rsidR="009D1359" w:rsidRPr="0004060E" w:rsidRDefault="009D1359" w:rsidP="0004060E">
            <w:pPr>
              <w:rPr>
                <w:rFonts w:ascii="Goudy Old Style" w:hAnsi="Goudy Old Style"/>
                <w:i/>
                <w:iCs/>
                <w:sz w:val="20"/>
                <w:szCs w:val="20"/>
                <w:lang w:val="en-US"/>
                <w14:ligatures w14:val="none"/>
              </w:rPr>
            </w:pPr>
            <w:r w:rsidRPr="0004060E">
              <w:rPr>
                <w:rFonts w:ascii="Goudy Old Style" w:hAnsi="Goudy Old Style"/>
                <w:i/>
                <w:iCs/>
                <w:sz w:val="20"/>
                <w:szCs w:val="20"/>
                <w:lang w:val="en-US"/>
                <w14:ligatures w14:val="none"/>
              </w:rPr>
              <w:t>Burkholderia cepacia</w:t>
            </w:r>
          </w:p>
        </w:tc>
        <w:tc>
          <w:tcPr>
            <w:tcW w:w="3166" w:type="dxa"/>
            <w:shd w:val="clear" w:color="auto" w:fill="auto"/>
            <w:noWrap/>
            <w:vAlign w:val="bottom"/>
            <w:hideMark/>
          </w:tcPr>
          <w:p w14:paraId="28D6A486" w14:textId="77777777" w:rsidR="009D1359" w:rsidRPr="0004060E" w:rsidRDefault="009D1359" w:rsidP="0004060E">
            <w:pPr>
              <w:jc w:val="center"/>
              <w:rPr>
                <w:rFonts w:ascii="Goudy Old Style" w:hAnsi="Goudy Old Style"/>
                <w:sz w:val="20"/>
                <w:szCs w:val="20"/>
                <w:lang w:val="en-US"/>
                <w14:ligatures w14:val="none"/>
              </w:rPr>
            </w:pPr>
            <w:r w:rsidRPr="0004060E">
              <w:rPr>
                <w:rFonts w:ascii="Goudy Old Style" w:hAnsi="Goudy Old Style"/>
                <w:sz w:val="20"/>
                <w:szCs w:val="20"/>
                <w:lang w:val="en-US"/>
                <w14:ligatures w14:val="none"/>
              </w:rPr>
              <w:t>1 (1.0)</w:t>
            </w:r>
          </w:p>
        </w:tc>
      </w:tr>
      <w:tr w:rsidR="009D1359" w:rsidRPr="0004060E" w14:paraId="2D572637" w14:textId="77777777" w:rsidTr="00240E82">
        <w:trPr>
          <w:trHeight w:val="288"/>
        </w:trPr>
        <w:tc>
          <w:tcPr>
            <w:tcW w:w="1373" w:type="dxa"/>
            <w:vMerge/>
            <w:vAlign w:val="center"/>
            <w:hideMark/>
          </w:tcPr>
          <w:p w14:paraId="39A4C0EB" w14:textId="77777777" w:rsidR="009D1359" w:rsidRPr="0004060E" w:rsidRDefault="009D1359" w:rsidP="0004060E">
            <w:pPr>
              <w:rPr>
                <w:rFonts w:ascii="Goudy Old Style" w:hAnsi="Goudy Old Style"/>
                <w:sz w:val="20"/>
                <w:szCs w:val="20"/>
                <w:lang w:val="en-US"/>
                <w14:ligatures w14:val="none"/>
              </w:rPr>
            </w:pPr>
          </w:p>
        </w:tc>
        <w:tc>
          <w:tcPr>
            <w:tcW w:w="0" w:type="auto"/>
            <w:shd w:val="clear" w:color="auto" w:fill="auto"/>
            <w:noWrap/>
            <w:vAlign w:val="bottom"/>
            <w:hideMark/>
          </w:tcPr>
          <w:p w14:paraId="0089B737" w14:textId="77777777" w:rsidR="009D1359" w:rsidRPr="0004060E" w:rsidRDefault="009D1359" w:rsidP="0004060E">
            <w:pPr>
              <w:rPr>
                <w:rFonts w:ascii="Goudy Old Style" w:hAnsi="Goudy Old Style"/>
                <w:i/>
                <w:iCs/>
                <w:sz w:val="20"/>
                <w:szCs w:val="20"/>
                <w:lang w:val="en-US"/>
                <w14:ligatures w14:val="none"/>
              </w:rPr>
            </w:pPr>
            <w:r w:rsidRPr="0004060E">
              <w:rPr>
                <w:rFonts w:ascii="Goudy Old Style" w:hAnsi="Goudy Old Style"/>
                <w:i/>
                <w:iCs/>
                <w:sz w:val="20"/>
                <w:szCs w:val="20"/>
                <w:lang w:val="en-US"/>
                <w14:ligatures w14:val="none"/>
              </w:rPr>
              <w:t>Candida species</w:t>
            </w:r>
          </w:p>
        </w:tc>
        <w:tc>
          <w:tcPr>
            <w:tcW w:w="3166" w:type="dxa"/>
            <w:shd w:val="clear" w:color="auto" w:fill="auto"/>
            <w:noWrap/>
            <w:vAlign w:val="bottom"/>
            <w:hideMark/>
          </w:tcPr>
          <w:p w14:paraId="3E46632A" w14:textId="77777777" w:rsidR="009D1359" w:rsidRPr="0004060E" w:rsidRDefault="009D1359" w:rsidP="0004060E">
            <w:pPr>
              <w:jc w:val="center"/>
              <w:rPr>
                <w:rFonts w:ascii="Goudy Old Style" w:hAnsi="Goudy Old Style"/>
                <w:sz w:val="20"/>
                <w:szCs w:val="20"/>
                <w:lang w:val="en-US"/>
                <w14:ligatures w14:val="none"/>
              </w:rPr>
            </w:pPr>
            <w:r w:rsidRPr="0004060E">
              <w:rPr>
                <w:rFonts w:ascii="Goudy Old Style" w:hAnsi="Goudy Old Style"/>
                <w:sz w:val="20"/>
                <w:szCs w:val="20"/>
                <w:lang w:val="en-US"/>
                <w14:ligatures w14:val="none"/>
              </w:rPr>
              <w:t>2 (2.0)</w:t>
            </w:r>
          </w:p>
        </w:tc>
      </w:tr>
      <w:tr w:rsidR="009D1359" w:rsidRPr="0004060E" w14:paraId="5B78B4F4" w14:textId="77777777" w:rsidTr="00240E82">
        <w:trPr>
          <w:trHeight w:val="288"/>
        </w:trPr>
        <w:tc>
          <w:tcPr>
            <w:tcW w:w="7087" w:type="dxa"/>
            <w:gridSpan w:val="3"/>
            <w:shd w:val="clear" w:color="auto" w:fill="auto"/>
            <w:noWrap/>
            <w:vAlign w:val="bottom"/>
            <w:hideMark/>
          </w:tcPr>
          <w:p w14:paraId="0361D6C3" w14:textId="77777777" w:rsidR="009D1359" w:rsidRPr="0004060E" w:rsidRDefault="009D1359" w:rsidP="0004060E">
            <w:pPr>
              <w:rPr>
                <w:rFonts w:ascii="Goudy Old Style" w:hAnsi="Goudy Old Style"/>
                <w:b/>
                <w:bCs/>
                <w:sz w:val="20"/>
                <w:szCs w:val="20"/>
                <w:lang w:val="en-US"/>
                <w14:ligatures w14:val="none"/>
              </w:rPr>
            </w:pPr>
            <w:r w:rsidRPr="0004060E">
              <w:rPr>
                <w:rFonts w:ascii="Goudy Old Style" w:hAnsi="Goudy Old Style"/>
                <w:b/>
                <w:bCs/>
                <w:sz w:val="20"/>
                <w:szCs w:val="20"/>
                <w:lang w:val="en-US"/>
                <w14:ligatures w14:val="none"/>
              </w:rPr>
              <w:t>Antimicrobial</w:t>
            </w:r>
          </w:p>
        </w:tc>
      </w:tr>
      <w:tr w:rsidR="009D1359" w:rsidRPr="0004060E" w14:paraId="1235683A" w14:textId="77777777" w:rsidTr="00240E82">
        <w:trPr>
          <w:trHeight w:val="288"/>
        </w:trPr>
        <w:tc>
          <w:tcPr>
            <w:tcW w:w="1373" w:type="dxa"/>
            <w:vMerge w:val="restart"/>
            <w:shd w:val="clear" w:color="auto" w:fill="auto"/>
            <w:noWrap/>
            <w:vAlign w:val="bottom"/>
            <w:hideMark/>
          </w:tcPr>
          <w:p w14:paraId="40C2E4BC" w14:textId="77777777" w:rsidR="009D1359" w:rsidRPr="0004060E" w:rsidRDefault="009D1359" w:rsidP="0004060E">
            <w:pPr>
              <w:jc w:val="center"/>
              <w:rPr>
                <w:rFonts w:ascii="Goudy Old Style" w:hAnsi="Goudy Old Style"/>
                <w:sz w:val="20"/>
                <w:szCs w:val="20"/>
                <w:lang w:val="en-US"/>
                <w14:ligatures w14:val="none"/>
              </w:rPr>
            </w:pPr>
            <w:r w:rsidRPr="0004060E">
              <w:rPr>
                <w:rFonts w:ascii="Goudy Old Style" w:hAnsi="Goudy Old Style"/>
                <w:sz w:val="20"/>
                <w:szCs w:val="20"/>
                <w:lang w:val="en-US"/>
                <w14:ligatures w14:val="none"/>
              </w:rPr>
              <w:t> </w:t>
            </w:r>
          </w:p>
        </w:tc>
        <w:tc>
          <w:tcPr>
            <w:tcW w:w="0" w:type="auto"/>
            <w:shd w:val="clear" w:color="auto" w:fill="auto"/>
            <w:noWrap/>
            <w:vAlign w:val="bottom"/>
            <w:hideMark/>
          </w:tcPr>
          <w:p w14:paraId="0FCDCFF3" w14:textId="77777777" w:rsidR="009D1359" w:rsidRPr="0004060E" w:rsidRDefault="009D1359" w:rsidP="0004060E">
            <w:pPr>
              <w:rPr>
                <w:rFonts w:ascii="Goudy Old Style" w:hAnsi="Goudy Old Style"/>
                <w:sz w:val="20"/>
                <w:szCs w:val="20"/>
                <w:lang w:val="en-US"/>
                <w14:ligatures w14:val="none"/>
              </w:rPr>
            </w:pPr>
            <w:r w:rsidRPr="0004060E">
              <w:rPr>
                <w:rFonts w:ascii="Goudy Old Style" w:hAnsi="Goudy Old Style"/>
                <w:sz w:val="20"/>
                <w:szCs w:val="20"/>
                <w:lang w:val="en-US"/>
                <w14:ligatures w14:val="none"/>
              </w:rPr>
              <w:t>Cephalosporine</w:t>
            </w:r>
          </w:p>
        </w:tc>
        <w:tc>
          <w:tcPr>
            <w:tcW w:w="3166" w:type="dxa"/>
            <w:shd w:val="clear" w:color="auto" w:fill="auto"/>
            <w:noWrap/>
            <w:vAlign w:val="bottom"/>
            <w:hideMark/>
          </w:tcPr>
          <w:p w14:paraId="65AF53F9" w14:textId="77777777" w:rsidR="009D1359" w:rsidRPr="0004060E" w:rsidRDefault="009D1359" w:rsidP="0004060E">
            <w:pPr>
              <w:jc w:val="center"/>
              <w:rPr>
                <w:rFonts w:ascii="Goudy Old Style" w:hAnsi="Goudy Old Style"/>
                <w:sz w:val="20"/>
                <w:szCs w:val="20"/>
                <w:lang w:val="en-US"/>
                <w14:ligatures w14:val="none"/>
              </w:rPr>
            </w:pPr>
            <w:r w:rsidRPr="0004060E">
              <w:rPr>
                <w:rFonts w:ascii="Goudy Old Style" w:hAnsi="Goudy Old Style"/>
                <w:sz w:val="20"/>
                <w:szCs w:val="20"/>
                <w:lang w:val="en-US"/>
                <w14:ligatures w14:val="none"/>
              </w:rPr>
              <w:t>71 (72.4)</w:t>
            </w:r>
          </w:p>
        </w:tc>
      </w:tr>
      <w:tr w:rsidR="009D1359" w:rsidRPr="0004060E" w14:paraId="4D52B0CF" w14:textId="77777777" w:rsidTr="00240E82">
        <w:trPr>
          <w:trHeight w:val="288"/>
        </w:trPr>
        <w:tc>
          <w:tcPr>
            <w:tcW w:w="1373" w:type="dxa"/>
            <w:vMerge/>
            <w:vAlign w:val="center"/>
            <w:hideMark/>
          </w:tcPr>
          <w:p w14:paraId="25EC3AB6" w14:textId="77777777" w:rsidR="009D1359" w:rsidRPr="0004060E" w:rsidRDefault="009D1359" w:rsidP="0004060E">
            <w:pPr>
              <w:rPr>
                <w:rFonts w:ascii="Goudy Old Style" w:hAnsi="Goudy Old Style"/>
                <w:sz w:val="20"/>
                <w:szCs w:val="20"/>
                <w:lang w:val="en-US"/>
                <w14:ligatures w14:val="none"/>
              </w:rPr>
            </w:pPr>
          </w:p>
        </w:tc>
        <w:tc>
          <w:tcPr>
            <w:tcW w:w="0" w:type="auto"/>
            <w:shd w:val="clear" w:color="auto" w:fill="auto"/>
            <w:noWrap/>
            <w:vAlign w:val="bottom"/>
            <w:hideMark/>
          </w:tcPr>
          <w:p w14:paraId="72951016" w14:textId="77777777" w:rsidR="009D1359" w:rsidRPr="0004060E" w:rsidRDefault="009D1359" w:rsidP="0004060E">
            <w:pPr>
              <w:rPr>
                <w:rFonts w:ascii="Goudy Old Style" w:hAnsi="Goudy Old Style"/>
                <w:sz w:val="20"/>
                <w:szCs w:val="20"/>
                <w:lang w:val="en-US"/>
                <w14:ligatures w14:val="none"/>
              </w:rPr>
            </w:pPr>
            <w:r w:rsidRPr="0004060E">
              <w:rPr>
                <w:rFonts w:ascii="Goudy Old Style" w:hAnsi="Goudy Old Style"/>
                <w:sz w:val="20"/>
                <w:szCs w:val="20"/>
                <w:lang w:val="en-US"/>
                <w14:ligatures w14:val="none"/>
              </w:rPr>
              <w:t>Quinolone</w:t>
            </w:r>
          </w:p>
        </w:tc>
        <w:tc>
          <w:tcPr>
            <w:tcW w:w="3166" w:type="dxa"/>
            <w:shd w:val="clear" w:color="auto" w:fill="auto"/>
            <w:noWrap/>
            <w:vAlign w:val="bottom"/>
            <w:hideMark/>
          </w:tcPr>
          <w:p w14:paraId="5B971021" w14:textId="77777777" w:rsidR="009D1359" w:rsidRPr="0004060E" w:rsidRDefault="009D1359" w:rsidP="0004060E">
            <w:pPr>
              <w:jc w:val="center"/>
              <w:rPr>
                <w:rFonts w:ascii="Goudy Old Style" w:hAnsi="Goudy Old Style"/>
                <w:sz w:val="20"/>
                <w:szCs w:val="20"/>
                <w:lang w:val="en-US"/>
                <w14:ligatures w14:val="none"/>
              </w:rPr>
            </w:pPr>
            <w:r w:rsidRPr="0004060E">
              <w:rPr>
                <w:rFonts w:ascii="Goudy Old Style" w:hAnsi="Goudy Old Style"/>
                <w:sz w:val="20"/>
                <w:szCs w:val="20"/>
                <w:lang w:val="en-US"/>
                <w14:ligatures w14:val="none"/>
              </w:rPr>
              <w:t>24 (24.5)</w:t>
            </w:r>
          </w:p>
        </w:tc>
      </w:tr>
      <w:tr w:rsidR="009D1359" w:rsidRPr="0004060E" w14:paraId="01E641F8" w14:textId="77777777" w:rsidTr="00240E82">
        <w:trPr>
          <w:trHeight w:val="288"/>
        </w:trPr>
        <w:tc>
          <w:tcPr>
            <w:tcW w:w="1373" w:type="dxa"/>
            <w:vMerge/>
            <w:vAlign w:val="center"/>
            <w:hideMark/>
          </w:tcPr>
          <w:p w14:paraId="7855C179" w14:textId="77777777" w:rsidR="009D1359" w:rsidRPr="0004060E" w:rsidRDefault="009D1359" w:rsidP="0004060E">
            <w:pPr>
              <w:rPr>
                <w:rFonts w:ascii="Goudy Old Style" w:hAnsi="Goudy Old Style"/>
                <w:sz w:val="20"/>
                <w:szCs w:val="20"/>
                <w:lang w:val="en-US"/>
                <w14:ligatures w14:val="none"/>
              </w:rPr>
            </w:pPr>
          </w:p>
        </w:tc>
        <w:tc>
          <w:tcPr>
            <w:tcW w:w="0" w:type="auto"/>
            <w:shd w:val="clear" w:color="auto" w:fill="auto"/>
            <w:noWrap/>
            <w:vAlign w:val="bottom"/>
            <w:hideMark/>
          </w:tcPr>
          <w:p w14:paraId="0CEC3BB7" w14:textId="77777777" w:rsidR="009D1359" w:rsidRPr="0004060E" w:rsidRDefault="009D1359" w:rsidP="0004060E">
            <w:pPr>
              <w:rPr>
                <w:rFonts w:ascii="Goudy Old Style" w:hAnsi="Goudy Old Style"/>
                <w:sz w:val="20"/>
                <w:szCs w:val="20"/>
                <w:lang w:val="en-US"/>
                <w14:ligatures w14:val="none"/>
              </w:rPr>
            </w:pPr>
            <w:r w:rsidRPr="0004060E">
              <w:rPr>
                <w:rFonts w:ascii="Goudy Old Style" w:hAnsi="Goudy Old Style"/>
                <w:sz w:val="20"/>
                <w:szCs w:val="20"/>
                <w:lang w:val="en-US"/>
                <w14:ligatures w14:val="none"/>
              </w:rPr>
              <w:t>Carbapenem</w:t>
            </w:r>
          </w:p>
        </w:tc>
        <w:tc>
          <w:tcPr>
            <w:tcW w:w="3166" w:type="dxa"/>
            <w:shd w:val="clear" w:color="auto" w:fill="auto"/>
            <w:noWrap/>
            <w:vAlign w:val="bottom"/>
            <w:hideMark/>
          </w:tcPr>
          <w:p w14:paraId="5DBB9F97" w14:textId="77777777" w:rsidR="009D1359" w:rsidRPr="0004060E" w:rsidRDefault="009D1359" w:rsidP="0004060E">
            <w:pPr>
              <w:jc w:val="center"/>
              <w:rPr>
                <w:rFonts w:ascii="Goudy Old Style" w:hAnsi="Goudy Old Style"/>
                <w:sz w:val="20"/>
                <w:szCs w:val="20"/>
                <w:lang w:val="en-US"/>
                <w14:ligatures w14:val="none"/>
              </w:rPr>
            </w:pPr>
            <w:r w:rsidRPr="0004060E">
              <w:rPr>
                <w:rFonts w:ascii="Goudy Old Style" w:hAnsi="Goudy Old Style"/>
                <w:sz w:val="20"/>
                <w:szCs w:val="20"/>
                <w:lang w:val="en-US"/>
                <w14:ligatures w14:val="none"/>
              </w:rPr>
              <w:t>11 (11.2)</w:t>
            </w:r>
          </w:p>
        </w:tc>
      </w:tr>
      <w:tr w:rsidR="009D1359" w:rsidRPr="0004060E" w14:paraId="0CA49739" w14:textId="77777777" w:rsidTr="00240E82">
        <w:trPr>
          <w:trHeight w:val="288"/>
        </w:trPr>
        <w:tc>
          <w:tcPr>
            <w:tcW w:w="1373" w:type="dxa"/>
            <w:vMerge/>
            <w:vAlign w:val="center"/>
            <w:hideMark/>
          </w:tcPr>
          <w:p w14:paraId="797D7FF6" w14:textId="77777777" w:rsidR="009D1359" w:rsidRPr="0004060E" w:rsidRDefault="009D1359" w:rsidP="0004060E">
            <w:pPr>
              <w:rPr>
                <w:rFonts w:ascii="Goudy Old Style" w:hAnsi="Goudy Old Style"/>
                <w:sz w:val="20"/>
                <w:szCs w:val="20"/>
                <w:lang w:val="en-US"/>
                <w14:ligatures w14:val="none"/>
              </w:rPr>
            </w:pPr>
          </w:p>
        </w:tc>
        <w:tc>
          <w:tcPr>
            <w:tcW w:w="0" w:type="auto"/>
            <w:shd w:val="clear" w:color="auto" w:fill="auto"/>
            <w:noWrap/>
            <w:vAlign w:val="bottom"/>
            <w:hideMark/>
          </w:tcPr>
          <w:p w14:paraId="5EA2FB66" w14:textId="7EEF402D" w:rsidR="009D1359" w:rsidRPr="0004060E" w:rsidRDefault="009D1359" w:rsidP="0004060E">
            <w:pPr>
              <w:rPr>
                <w:rFonts w:ascii="Goudy Old Style" w:hAnsi="Goudy Old Style"/>
                <w:sz w:val="20"/>
                <w:szCs w:val="20"/>
                <w:lang w:val="en-US"/>
                <w14:ligatures w14:val="none"/>
              </w:rPr>
            </w:pPr>
            <w:r w:rsidRPr="0004060E">
              <w:rPr>
                <w:rFonts w:ascii="Goudy Old Style" w:hAnsi="Goudy Old Style"/>
                <w:sz w:val="20"/>
                <w:szCs w:val="20"/>
                <w:lang w:val="en-US"/>
                <w14:ligatures w14:val="none"/>
              </w:rPr>
              <w:t>Penicil</w:t>
            </w:r>
            <w:r w:rsidR="00CE07FD">
              <w:rPr>
                <w:rFonts w:ascii="Goudy Old Style" w:hAnsi="Goudy Old Style"/>
                <w:sz w:val="20"/>
                <w:szCs w:val="20"/>
                <w:lang w:val="id-ID"/>
                <w14:ligatures w14:val="none"/>
              </w:rPr>
              <w:t>l</w:t>
            </w:r>
            <w:r w:rsidRPr="0004060E">
              <w:rPr>
                <w:rFonts w:ascii="Goudy Old Style" w:hAnsi="Goudy Old Style"/>
                <w:sz w:val="20"/>
                <w:szCs w:val="20"/>
                <w:lang w:val="en-US"/>
                <w14:ligatures w14:val="none"/>
              </w:rPr>
              <w:t>in</w:t>
            </w:r>
          </w:p>
        </w:tc>
        <w:tc>
          <w:tcPr>
            <w:tcW w:w="3166" w:type="dxa"/>
            <w:shd w:val="clear" w:color="auto" w:fill="auto"/>
            <w:noWrap/>
            <w:vAlign w:val="bottom"/>
            <w:hideMark/>
          </w:tcPr>
          <w:p w14:paraId="2D9372B7" w14:textId="77777777" w:rsidR="009D1359" w:rsidRPr="0004060E" w:rsidRDefault="009D1359" w:rsidP="0004060E">
            <w:pPr>
              <w:jc w:val="center"/>
              <w:rPr>
                <w:rFonts w:ascii="Goudy Old Style" w:hAnsi="Goudy Old Style"/>
                <w:sz w:val="20"/>
                <w:szCs w:val="20"/>
                <w:lang w:val="en-US"/>
                <w14:ligatures w14:val="none"/>
              </w:rPr>
            </w:pPr>
            <w:r w:rsidRPr="0004060E">
              <w:rPr>
                <w:rFonts w:ascii="Goudy Old Style" w:hAnsi="Goudy Old Style"/>
                <w:sz w:val="20"/>
                <w:szCs w:val="20"/>
                <w:lang w:val="en-US"/>
                <w14:ligatures w14:val="none"/>
              </w:rPr>
              <w:t>1 (1.0)</w:t>
            </w:r>
          </w:p>
        </w:tc>
      </w:tr>
      <w:tr w:rsidR="009D1359" w:rsidRPr="0004060E" w14:paraId="6C7F6B07" w14:textId="77777777" w:rsidTr="00240E82">
        <w:trPr>
          <w:trHeight w:val="288"/>
        </w:trPr>
        <w:tc>
          <w:tcPr>
            <w:tcW w:w="1373" w:type="dxa"/>
            <w:vMerge/>
            <w:vAlign w:val="center"/>
            <w:hideMark/>
          </w:tcPr>
          <w:p w14:paraId="214A16CA" w14:textId="77777777" w:rsidR="009D1359" w:rsidRPr="0004060E" w:rsidRDefault="009D1359" w:rsidP="0004060E">
            <w:pPr>
              <w:rPr>
                <w:rFonts w:ascii="Goudy Old Style" w:hAnsi="Goudy Old Style"/>
                <w:sz w:val="20"/>
                <w:szCs w:val="20"/>
                <w:lang w:val="en-US"/>
                <w14:ligatures w14:val="none"/>
              </w:rPr>
            </w:pPr>
          </w:p>
        </w:tc>
        <w:tc>
          <w:tcPr>
            <w:tcW w:w="0" w:type="auto"/>
            <w:shd w:val="clear" w:color="auto" w:fill="auto"/>
            <w:noWrap/>
            <w:vAlign w:val="bottom"/>
            <w:hideMark/>
          </w:tcPr>
          <w:p w14:paraId="3258F5E3" w14:textId="77777777" w:rsidR="009D1359" w:rsidRPr="0004060E" w:rsidRDefault="009D1359" w:rsidP="0004060E">
            <w:pPr>
              <w:rPr>
                <w:rFonts w:ascii="Goudy Old Style" w:hAnsi="Goudy Old Style"/>
                <w:sz w:val="20"/>
                <w:szCs w:val="20"/>
                <w:lang w:val="en-US"/>
                <w14:ligatures w14:val="none"/>
              </w:rPr>
            </w:pPr>
            <w:r w:rsidRPr="0004060E">
              <w:rPr>
                <w:rFonts w:ascii="Goudy Old Style" w:hAnsi="Goudy Old Style"/>
                <w:sz w:val="20"/>
                <w:szCs w:val="20"/>
                <w:lang w:val="en-US"/>
                <w14:ligatures w14:val="none"/>
              </w:rPr>
              <w:t>Metronidazole</w:t>
            </w:r>
          </w:p>
        </w:tc>
        <w:tc>
          <w:tcPr>
            <w:tcW w:w="3166" w:type="dxa"/>
            <w:shd w:val="clear" w:color="auto" w:fill="auto"/>
            <w:noWrap/>
            <w:vAlign w:val="bottom"/>
            <w:hideMark/>
          </w:tcPr>
          <w:p w14:paraId="19DDC947" w14:textId="77777777" w:rsidR="009D1359" w:rsidRPr="0004060E" w:rsidRDefault="009D1359" w:rsidP="0004060E">
            <w:pPr>
              <w:jc w:val="center"/>
              <w:rPr>
                <w:rFonts w:ascii="Goudy Old Style" w:hAnsi="Goudy Old Style"/>
                <w:sz w:val="20"/>
                <w:szCs w:val="20"/>
                <w:lang w:val="en-US"/>
                <w14:ligatures w14:val="none"/>
              </w:rPr>
            </w:pPr>
            <w:r w:rsidRPr="0004060E">
              <w:rPr>
                <w:rFonts w:ascii="Goudy Old Style" w:hAnsi="Goudy Old Style"/>
                <w:sz w:val="20"/>
                <w:szCs w:val="20"/>
                <w:lang w:val="en-US"/>
                <w14:ligatures w14:val="none"/>
              </w:rPr>
              <w:t>19 (19.4)</w:t>
            </w:r>
          </w:p>
        </w:tc>
      </w:tr>
      <w:tr w:rsidR="009D1359" w:rsidRPr="0004060E" w14:paraId="1D9D6B7C" w14:textId="77777777" w:rsidTr="00240E82">
        <w:trPr>
          <w:trHeight w:val="288"/>
        </w:trPr>
        <w:tc>
          <w:tcPr>
            <w:tcW w:w="1373" w:type="dxa"/>
            <w:vMerge/>
            <w:vAlign w:val="center"/>
            <w:hideMark/>
          </w:tcPr>
          <w:p w14:paraId="6F39DB42" w14:textId="77777777" w:rsidR="009D1359" w:rsidRPr="0004060E" w:rsidRDefault="009D1359" w:rsidP="0004060E">
            <w:pPr>
              <w:rPr>
                <w:rFonts w:ascii="Goudy Old Style" w:hAnsi="Goudy Old Style"/>
                <w:sz w:val="20"/>
                <w:szCs w:val="20"/>
                <w:lang w:val="en-US"/>
                <w14:ligatures w14:val="none"/>
              </w:rPr>
            </w:pPr>
          </w:p>
        </w:tc>
        <w:tc>
          <w:tcPr>
            <w:tcW w:w="0" w:type="auto"/>
            <w:shd w:val="clear" w:color="auto" w:fill="auto"/>
            <w:noWrap/>
            <w:vAlign w:val="bottom"/>
            <w:hideMark/>
          </w:tcPr>
          <w:p w14:paraId="199D6C96" w14:textId="77777777" w:rsidR="009D1359" w:rsidRPr="0004060E" w:rsidRDefault="009D1359" w:rsidP="0004060E">
            <w:pPr>
              <w:rPr>
                <w:rFonts w:ascii="Goudy Old Style" w:hAnsi="Goudy Old Style"/>
                <w:sz w:val="20"/>
                <w:szCs w:val="20"/>
                <w:lang w:val="en-US"/>
                <w14:ligatures w14:val="none"/>
              </w:rPr>
            </w:pPr>
            <w:r w:rsidRPr="0004060E">
              <w:rPr>
                <w:rFonts w:ascii="Goudy Old Style" w:hAnsi="Goudy Old Style"/>
                <w:sz w:val="20"/>
                <w:szCs w:val="20"/>
                <w:lang w:val="en-US"/>
                <w14:ligatures w14:val="none"/>
              </w:rPr>
              <w:t>Others</w:t>
            </w:r>
          </w:p>
        </w:tc>
        <w:tc>
          <w:tcPr>
            <w:tcW w:w="3166" w:type="dxa"/>
            <w:shd w:val="clear" w:color="auto" w:fill="auto"/>
            <w:noWrap/>
            <w:vAlign w:val="bottom"/>
            <w:hideMark/>
          </w:tcPr>
          <w:p w14:paraId="475B88D7" w14:textId="77777777" w:rsidR="009D1359" w:rsidRPr="0004060E" w:rsidRDefault="009D1359" w:rsidP="0004060E">
            <w:pPr>
              <w:jc w:val="center"/>
              <w:rPr>
                <w:rFonts w:ascii="Goudy Old Style" w:hAnsi="Goudy Old Style"/>
                <w:sz w:val="20"/>
                <w:szCs w:val="20"/>
                <w:lang w:val="en-US"/>
                <w14:ligatures w14:val="none"/>
              </w:rPr>
            </w:pPr>
            <w:r w:rsidRPr="0004060E">
              <w:rPr>
                <w:rFonts w:ascii="Goudy Old Style" w:hAnsi="Goudy Old Style"/>
                <w:sz w:val="20"/>
                <w:szCs w:val="20"/>
                <w:lang w:val="en-US"/>
                <w14:ligatures w14:val="none"/>
              </w:rPr>
              <w:t>15 (15.3)</w:t>
            </w:r>
          </w:p>
        </w:tc>
      </w:tr>
    </w:tbl>
    <w:p w14:paraId="3F614D64" w14:textId="577EB210" w:rsidR="009D1359" w:rsidRPr="00240E82" w:rsidRDefault="00551AA8" w:rsidP="00240E82">
      <w:pPr>
        <w:spacing w:line="276" w:lineRule="auto"/>
        <w:ind w:left="993"/>
        <w:jc w:val="both"/>
        <w:rPr>
          <w:rFonts w:ascii="Goudy Old Style" w:hAnsi="Goudy Old Style"/>
          <w:i/>
          <w:iCs/>
          <w:sz w:val="20"/>
          <w:szCs w:val="20"/>
        </w:rPr>
      </w:pPr>
      <w:r w:rsidRPr="00240E82">
        <w:rPr>
          <w:rFonts w:ascii="Goudy Old Style" w:hAnsi="Goudy Old Style"/>
          <w:i/>
          <w:iCs/>
          <w:sz w:val="20"/>
          <w:szCs w:val="20"/>
        </w:rPr>
        <w:t>*N</w:t>
      </w:r>
      <w:r w:rsidR="001C7B1D" w:rsidRPr="00240E82">
        <w:rPr>
          <w:rFonts w:ascii="Goudy Old Style" w:hAnsi="Goudy Old Style"/>
          <w:i/>
          <w:iCs/>
          <w:sz w:val="20"/>
          <w:szCs w:val="20"/>
        </w:rPr>
        <w:t>ote: CVC: Central Venous Cathet</w:t>
      </w:r>
      <w:r w:rsidRPr="00240E82">
        <w:rPr>
          <w:rFonts w:ascii="Goudy Old Style" w:hAnsi="Goudy Old Style"/>
          <w:i/>
          <w:iCs/>
          <w:sz w:val="20"/>
          <w:szCs w:val="20"/>
        </w:rPr>
        <w:t>er, ICU: Intensive Care Unit</w:t>
      </w:r>
    </w:p>
    <w:p w14:paraId="7C3CCB5F" w14:textId="68D5DC55" w:rsidR="00F25B77" w:rsidRPr="00422DDB" w:rsidRDefault="00954F24" w:rsidP="00422DDB">
      <w:pPr>
        <w:spacing w:before="120" w:after="120" w:line="276" w:lineRule="auto"/>
        <w:jc w:val="both"/>
        <w:rPr>
          <w:rFonts w:ascii="Goudy Old Style" w:hAnsi="Goudy Old Style"/>
        </w:rPr>
      </w:pPr>
      <w:r w:rsidRPr="00422DDB">
        <w:rPr>
          <w:rFonts w:ascii="Goudy Old Style" w:hAnsi="Goudy Old Style"/>
          <w:b/>
          <w:bCs/>
        </w:rPr>
        <w:t>Di</w:t>
      </w:r>
      <w:r w:rsidR="00F25B77" w:rsidRPr="00422DDB">
        <w:rPr>
          <w:rFonts w:ascii="Goudy Old Style" w:hAnsi="Goudy Old Style"/>
          <w:b/>
          <w:bCs/>
        </w:rPr>
        <w:t>scussion</w:t>
      </w:r>
    </w:p>
    <w:p w14:paraId="6C5F101C" w14:textId="17B05A4C" w:rsidR="004B60D8" w:rsidRPr="00422DDB" w:rsidRDefault="003500B9" w:rsidP="00422DDB">
      <w:pPr>
        <w:spacing w:line="276" w:lineRule="auto"/>
        <w:ind w:firstLine="567"/>
        <w:jc w:val="both"/>
        <w:rPr>
          <w:rFonts w:ascii="Goudy Old Style" w:hAnsi="Goudy Old Style"/>
        </w:rPr>
      </w:pPr>
      <w:r w:rsidRPr="00422DDB">
        <w:rPr>
          <w:rFonts w:ascii="Goudy Old Style" w:hAnsi="Goudy Old Style"/>
        </w:rPr>
        <w:t xml:space="preserve">Blood </w:t>
      </w:r>
      <w:r w:rsidR="00CE07FD">
        <w:rPr>
          <w:rFonts w:ascii="Goudy Old Style" w:hAnsi="Goudy Old Style"/>
        </w:rPr>
        <w:t>culture</w:t>
      </w:r>
      <w:r w:rsidRPr="00422DDB">
        <w:rPr>
          <w:rFonts w:ascii="Goudy Old Style" w:hAnsi="Goudy Old Style"/>
        </w:rPr>
        <w:t xml:space="preserve"> is an important diagnostic tool for the </w:t>
      </w:r>
      <w:r w:rsidR="00CE07FD" w:rsidRPr="00CE07FD">
        <w:rPr>
          <w:rFonts w:ascii="Goudy Old Style" w:hAnsi="Goudy Old Style"/>
        </w:rPr>
        <w:t>identifying</w:t>
      </w:r>
      <w:r w:rsidRPr="00422DDB">
        <w:rPr>
          <w:rFonts w:ascii="Goudy Old Style" w:hAnsi="Goudy Old Style"/>
        </w:rPr>
        <w:t xml:space="preserve"> of the causative agent of infection in patients with sepsis, sepsis shock, and infective endocarditis</w:t>
      </w:r>
      <w:r w:rsidR="00B46D7A" w:rsidRPr="00422DDB">
        <w:rPr>
          <w:rFonts w:ascii="Goudy Old Style" w:hAnsi="Goudy Old Style"/>
        </w:rPr>
        <w:t>.</w:t>
      </w:r>
      <w:r w:rsidRPr="00422DDB">
        <w:rPr>
          <w:rFonts w:ascii="Goudy Old Style" w:hAnsi="Goudy Old Style"/>
          <w:vertAlign w:val="superscript"/>
        </w:rPr>
        <w:fldChar w:fldCharType="begin" w:fldLock="1"/>
      </w:r>
      <w:r w:rsidR="00503777" w:rsidRPr="00422DDB">
        <w:rPr>
          <w:rFonts w:ascii="Goudy Old Style" w:hAnsi="Goudy Old Style"/>
          <w:vertAlign w:val="superscript"/>
        </w:rPr>
        <w:instrText>ADDIN CSL_CITATION {"citationItems":[{"id":"ITEM-1","itemData":{"author":[{"dropping-particle":"","family":"CDC","given":"","non-dropping-particle":"","parse-names":false,"suffix":""}],"id":"ITEM-1","issued":{"date-parts":[["2023"]]},"page":"5-7","title":"Blood Culture Contamination : An Overview for Infection Control and Antibiotic Stewardship Programs Working with the Clinical Laboratory Purpose Using Blood Culture Contamination Rate for Quality Improvement Tracking the Blood Culture Contamination Rate","type":"article-journal"},"uris":["http://www.mendeley.com/documents/?uuid=efcd6a1c-2050-40ba-86dd-d925b8427001"]}],"mendeley":{"formattedCitation":"(11)","plainTextFormattedCitation":"(11)","previouslyFormattedCitation":"(10)"},"properties":{"noteIndex":0},"schema":"https://github.com/citation-style-language/schema/raw/master/csl-citation.json"}</w:instrText>
      </w:r>
      <w:r w:rsidRPr="00422DDB">
        <w:rPr>
          <w:rFonts w:ascii="Goudy Old Style" w:hAnsi="Goudy Old Style"/>
          <w:vertAlign w:val="superscript"/>
        </w:rPr>
        <w:fldChar w:fldCharType="separate"/>
      </w:r>
      <w:r w:rsidR="00503777" w:rsidRPr="00422DDB">
        <w:rPr>
          <w:rFonts w:ascii="Goudy Old Style" w:hAnsi="Goudy Old Style"/>
          <w:noProof/>
          <w:vertAlign w:val="superscript"/>
        </w:rPr>
        <w:t>11</w:t>
      </w:r>
      <w:r w:rsidRPr="00422DDB">
        <w:rPr>
          <w:rFonts w:ascii="Goudy Old Style" w:hAnsi="Goudy Old Style"/>
          <w:vertAlign w:val="superscript"/>
        </w:rPr>
        <w:fldChar w:fldCharType="end"/>
      </w:r>
      <w:r w:rsidR="009966F0" w:rsidRPr="00422DDB">
        <w:rPr>
          <w:rFonts w:ascii="Goudy Old Style" w:hAnsi="Goudy Old Style"/>
        </w:rPr>
        <w:t xml:space="preserve"> </w:t>
      </w:r>
      <w:r w:rsidR="004B60D8" w:rsidRPr="00422DDB">
        <w:rPr>
          <w:rFonts w:ascii="Goudy Old Style" w:hAnsi="Goudy Old Style"/>
        </w:rPr>
        <w:t>An unknown source of infection is associated with a poor prognosis. Delayed control of the source of infection may increase mortality.</w:t>
      </w:r>
    </w:p>
    <w:p w14:paraId="042C57DE" w14:textId="218E5C20" w:rsidR="00186FEB" w:rsidRPr="00422DDB" w:rsidRDefault="00976321" w:rsidP="00422DDB">
      <w:pPr>
        <w:spacing w:line="276" w:lineRule="auto"/>
        <w:ind w:firstLine="567"/>
        <w:jc w:val="both"/>
        <w:rPr>
          <w:rFonts w:ascii="Goudy Old Style" w:hAnsi="Goudy Old Style"/>
        </w:rPr>
      </w:pPr>
      <w:r w:rsidRPr="00422DDB">
        <w:rPr>
          <w:rFonts w:ascii="Goudy Old Style" w:hAnsi="Goudy Old Style"/>
        </w:rPr>
        <w:t xml:space="preserve">Negative blood </w:t>
      </w:r>
      <w:r w:rsidR="00CE07FD">
        <w:rPr>
          <w:rFonts w:ascii="Goudy Old Style" w:hAnsi="Goudy Old Style"/>
        </w:rPr>
        <w:t>culture</w:t>
      </w:r>
      <w:r w:rsidRPr="00422DDB">
        <w:rPr>
          <w:rFonts w:ascii="Goudy Old Style" w:hAnsi="Goudy Old Style"/>
        </w:rPr>
        <w:t>s can be caused by previous antibiotic administration or other causes other than bacterial infections, such as fungi or viruses</w:t>
      </w:r>
      <w:r w:rsidR="0093545E" w:rsidRPr="00422DDB">
        <w:rPr>
          <w:rFonts w:ascii="Goudy Old Style" w:hAnsi="Goudy Old Style"/>
        </w:rPr>
        <w:t>.</w:t>
      </w:r>
      <w:r w:rsidR="009B60BF" w:rsidRPr="00422DDB">
        <w:rPr>
          <w:rFonts w:ascii="Goudy Old Style" w:hAnsi="Goudy Old Style"/>
          <w:vertAlign w:val="superscript"/>
        </w:rPr>
        <w:fldChar w:fldCharType="begin" w:fldLock="1"/>
      </w:r>
      <w:r w:rsidR="001137C4" w:rsidRPr="00422DDB">
        <w:rPr>
          <w:rFonts w:ascii="Goudy Old Style" w:hAnsi="Goudy Old Style"/>
          <w:vertAlign w:val="superscript"/>
        </w:rPr>
        <w:instrText>ADDIN CSL_CITATION {"citationItems":[{"id":"ITEM-1","itemData":{"author":[{"dropping-particle":"","family":"WHO","given":"","non-dropping-particle":"","parse-names":false,"suffix":""}],"id":"ITEM-1","issued":{"date-parts":[["2023"]]},"title":"Sepsis","type":"article"},"uris":["http://www.mendeley.com/documents/?uuid=a17e630e-489d-4c08-af3c-bfd15a00b395"]}],"mendeley":{"formattedCitation":"(7)","plainTextFormattedCitation":"(7)","previouslyFormattedCitation":"(7)"},"properties":{"noteIndex":0},"schema":"https://github.com/citation-style-language/schema/raw/master/csl-citation.json"}</w:instrText>
      </w:r>
      <w:r w:rsidR="009B60BF" w:rsidRPr="00422DDB">
        <w:rPr>
          <w:rFonts w:ascii="Goudy Old Style" w:hAnsi="Goudy Old Style"/>
          <w:vertAlign w:val="superscript"/>
        </w:rPr>
        <w:fldChar w:fldCharType="separate"/>
      </w:r>
      <w:r w:rsidR="00B528C6" w:rsidRPr="00422DDB">
        <w:rPr>
          <w:rFonts w:ascii="Goudy Old Style" w:hAnsi="Goudy Old Style"/>
          <w:noProof/>
          <w:vertAlign w:val="superscript"/>
        </w:rPr>
        <w:t>7</w:t>
      </w:r>
      <w:r w:rsidR="009B60BF" w:rsidRPr="00422DDB">
        <w:rPr>
          <w:rFonts w:ascii="Goudy Old Style" w:hAnsi="Goudy Old Style"/>
          <w:vertAlign w:val="superscript"/>
        </w:rPr>
        <w:fldChar w:fldCharType="end"/>
      </w:r>
      <w:r w:rsidRPr="00422DDB">
        <w:rPr>
          <w:rFonts w:ascii="Goudy Old Style" w:hAnsi="Goudy Old Style"/>
        </w:rPr>
        <w:t xml:space="preserve"> </w:t>
      </w:r>
      <w:r w:rsidR="001E731A" w:rsidRPr="00422DDB">
        <w:rPr>
          <w:rFonts w:ascii="Goudy Old Style" w:hAnsi="Goudy Old Style"/>
        </w:rPr>
        <w:t xml:space="preserve">Empirical antibiotics are often given for long periods of time for suspected sepsis, even in the absence of clinical signs of infection, while waiting for blood </w:t>
      </w:r>
      <w:r w:rsidR="00CE07FD">
        <w:rPr>
          <w:rFonts w:ascii="Goudy Old Style" w:hAnsi="Goudy Old Style"/>
        </w:rPr>
        <w:t>culture</w:t>
      </w:r>
      <w:r w:rsidR="001E731A" w:rsidRPr="00422DDB">
        <w:rPr>
          <w:rFonts w:ascii="Goudy Old Style" w:hAnsi="Goudy Old Style"/>
        </w:rPr>
        <w:t xml:space="preserve"> results</w:t>
      </w:r>
      <w:r w:rsidR="0093545E" w:rsidRPr="00422DDB">
        <w:rPr>
          <w:rFonts w:ascii="Goudy Old Style" w:hAnsi="Goudy Old Style"/>
        </w:rPr>
        <w:t>.</w:t>
      </w:r>
      <w:r w:rsidR="001E731A" w:rsidRPr="00422DDB">
        <w:rPr>
          <w:rFonts w:ascii="Goudy Old Style" w:hAnsi="Goudy Old Style"/>
          <w:noProof/>
          <w:vertAlign w:val="superscript"/>
        </w:rPr>
        <w:fldChar w:fldCharType="begin" w:fldLock="1"/>
      </w:r>
      <w:r w:rsidR="00503777" w:rsidRPr="00422DDB">
        <w:rPr>
          <w:rFonts w:ascii="Goudy Old Style" w:hAnsi="Goudy Old Style"/>
          <w:noProof/>
          <w:vertAlign w:val="superscript"/>
        </w:rPr>
        <w:instrText>ADDIN CSL_CITATION {"citationItems":[{"id":"ITEM-1","itemData":{"DOI":"10.3390/antibiotics10020123","ISSN":"20796382","abstract":"(1) Background: Empirical antibiotics for suspected neonatal early-onset sepsis are often prolonged administered, even in the absence of clinical signs of infection, while awaiting the blood cultures results. The C-reactive protein is widely used to guide antibiotic therapy, although its increase in the first hours of life is not always evidence of infection. The aim of this study was to evaluate the time to positivity (TTP) of blood cultures (BC) that develop pathogens in our population of neonates and determine whether TTP could safely inform the decisions on empirical antibiotic discontinuation in neonatal early-onset sepsis and reduce the use of unnecessary antibiotics. (2) Methods: We retrospectively collected data of all newborns ≥ 34 weeks admitted to the Neonatal Intermediate-Care Unit at Policlinico “A. Gemelli” University Hospital (Rome, Italy) from 2014 to 2018, with suspected early-onset sepsis (EOS). The TTP was the time in hours from the first BC inoculation to the bacterial growth. We defined as positive BC only those with a pathogenic organism. (3) Results: In total, 103 out of 20,528 infants born in the five-year study period were admitted to our Neonatal Intermediate-Care Unit because of a suspected EOS and enrolled into the study. The mean TTP of pathogenic organisms was 17.7 ± 12.5 h versus 80.5 ± 55.8 h of contaminants (p = 0.003). We found ten positive BCs. The TTP of BC was lower than 12, 36, and 48 h in 80%, 90%, and 100% of cases, respectively. CRP levels on admission were similar in infants with a positive and negative BC (p = 0.067). The discontinuation of therapy in asymptomatic infants 48 h after initiation would have resulted in a saving of 217 days of antibiotics (31.1% of total days administered). (4) Conclusion: From our data, the TTP of blood cultures that develop pathogens is less than 48 h in 100% of cases. Therefore, in late preterm and full-term infants with suspected EOS, stopping empiric antibiotics 48 h after initiation may be a safe practice to reduce unnecessary antibiotic use, when blood cultures are negative and infants asymptomatic.","author":[{"dropping-particle":"","family":"Rose","given":"Domenico Umberto","non-dropping-particle":"De","parse-names":false,"suffix":""},{"dropping-particle":"","family":"Perri","given":"Alessandro","non-dropping-particle":"","parse-names":false,"suffix":""},{"dropping-particle":"","family":"Auriti","given":"Cinzia","non-dropping-particle":"","parse-names":false,"suffix":""},{"dropping-particle":"","family":"Gallini","given":"Francesca","non-dropping-particle":"","parse-names":false,"suffix":""},{"dropping-particle":"","family":"Maggio","given":"Luca","non-dropping-particle":"","parse-names":false,"suffix":""},{"dropping-particle":"","family":"Fiori","given":"Barbara","non-dropping-particle":"","parse-names":false,"suffix":""},{"dropping-particle":"","family":"D’inzeo","given":"Tiziana","non-dropping-particle":"","parse-names":false,"suffix":""},{"dropping-particle":"","family":"Spanu","given":"Teresa","non-dropping-particle":"","parse-names":false,"suffix":""},{"dropping-particle":"","family":"Vento","given":"Giovanni","non-dropping-particle":"","parse-names":false,"suffix":""}],"container-title":"Antibiotics","id":"ITEM-1","issue":"2","issued":{"date-parts":[["2021"]]},"page":"1-7","title":"Time to positivity of blood cultures could inform decisions on antibiotics administration in neonatal early-onset sepsis","type":"article-journal","volume":"10"},"uris":["http://www.mendeley.com/documents/?uuid=cfa0eadc-5928-4e8e-bffe-75e2bcff85ac"]}],"mendeley":{"formattedCitation":"(12)","plainTextFormattedCitation":"(12)","previouslyFormattedCitation":"(11)"},"properties":{"noteIndex":0},"schema":"https://github.com/citation-style-language/schema/raw/master/csl-citation.json"}</w:instrText>
      </w:r>
      <w:r w:rsidR="001E731A" w:rsidRPr="00422DDB">
        <w:rPr>
          <w:rFonts w:ascii="Goudy Old Style" w:hAnsi="Goudy Old Style"/>
          <w:noProof/>
          <w:vertAlign w:val="superscript"/>
        </w:rPr>
        <w:fldChar w:fldCharType="separate"/>
      </w:r>
      <w:r w:rsidR="00503777" w:rsidRPr="00422DDB">
        <w:rPr>
          <w:rFonts w:ascii="Goudy Old Style" w:hAnsi="Goudy Old Style"/>
          <w:noProof/>
          <w:vertAlign w:val="superscript"/>
        </w:rPr>
        <w:t>12</w:t>
      </w:r>
      <w:r w:rsidR="001E731A" w:rsidRPr="00422DDB">
        <w:rPr>
          <w:rFonts w:ascii="Goudy Old Style" w:hAnsi="Goudy Old Style"/>
          <w:noProof/>
          <w:vertAlign w:val="superscript"/>
        </w:rPr>
        <w:fldChar w:fldCharType="end"/>
      </w:r>
      <w:r w:rsidR="001E731A" w:rsidRPr="00422DDB">
        <w:rPr>
          <w:rFonts w:ascii="Goudy Old Style" w:hAnsi="Goudy Old Style"/>
        </w:rPr>
        <w:t xml:space="preserve"> </w:t>
      </w:r>
      <w:r w:rsidR="009B60BF" w:rsidRPr="00422DDB">
        <w:rPr>
          <w:rFonts w:ascii="Goudy Old Style" w:hAnsi="Goudy Old Style"/>
        </w:rPr>
        <w:t xml:space="preserve">Previous studies have shown that about 28–50% of sepsis patients have negative blood </w:t>
      </w:r>
      <w:r w:rsidR="00CE07FD">
        <w:rPr>
          <w:rFonts w:ascii="Goudy Old Style" w:hAnsi="Goudy Old Style"/>
        </w:rPr>
        <w:t>culture</w:t>
      </w:r>
      <w:r w:rsidR="009B60BF" w:rsidRPr="00422DDB">
        <w:rPr>
          <w:rFonts w:ascii="Goudy Old Style" w:hAnsi="Goudy Old Style"/>
        </w:rPr>
        <w:t xml:space="preserve">. </w:t>
      </w:r>
      <w:r w:rsidRPr="00422DDB">
        <w:rPr>
          <w:rFonts w:ascii="Goudy Old Style" w:hAnsi="Goudy Old Style"/>
        </w:rPr>
        <w:t>Delayed, effective antibiotic administration every hour in patients with septic shock will result in death. Interventional laboratory tests should be done to consider continuing, narrowing, or stopping antibiotics to found non-</w:t>
      </w:r>
      <w:r w:rsidRPr="00422DDB">
        <w:rPr>
          <w:rFonts w:ascii="Goudy Old Style" w:hAnsi="Goudy Old Style"/>
        </w:rPr>
        <w:lastRenderedPageBreak/>
        <w:t xml:space="preserve">infectious causes if blood </w:t>
      </w:r>
      <w:r w:rsidR="00CE07FD">
        <w:rPr>
          <w:rFonts w:ascii="Goudy Old Style" w:hAnsi="Goudy Old Style"/>
        </w:rPr>
        <w:t>culture</w:t>
      </w:r>
      <w:r w:rsidRPr="00422DDB">
        <w:rPr>
          <w:rFonts w:ascii="Goudy Old Style" w:hAnsi="Goudy Old Style"/>
        </w:rPr>
        <w:t xml:space="preserve"> results are negative</w:t>
      </w:r>
      <w:r w:rsidR="0093545E" w:rsidRPr="00422DDB">
        <w:rPr>
          <w:rFonts w:ascii="Goudy Old Style" w:hAnsi="Goudy Old Style"/>
        </w:rPr>
        <w:t>.</w:t>
      </w:r>
      <w:r w:rsidR="00EB2BA8" w:rsidRPr="00422DDB">
        <w:rPr>
          <w:rFonts w:ascii="Goudy Old Style" w:hAnsi="Goudy Old Style"/>
          <w:noProof/>
          <w:vertAlign w:val="superscript"/>
        </w:rPr>
        <w:fldChar w:fldCharType="begin" w:fldLock="1"/>
      </w:r>
      <w:r w:rsidR="00503777" w:rsidRPr="00422DDB">
        <w:rPr>
          <w:rFonts w:ascii="Goudy Old Style" w:hAnsi="Goudy Old Style"/>
          <w:noProof/>
          <w:vertAlign w:val="superscript"/>
        </w:rPr>
        <w:instrText xml:space="preserve">ADDIN CSL_CITATION {"citationItems":[{"id":"ITEM-1","itemData":{"DOI":"10.1186/s13054-021-03592-8","ISBN":"1305402103","ISSN":"1466609X","PMID":"33964934","abstract":"Background: Mortality and other clinical outcomes between culture-negative and culture-positive septic patients have been documented inconsistently and are very controversial. A systematic review and meta-analysis was performed to compare the clinical outcomes of culture-negative and culture-positive sepsis or septic shock. Methods: We searched the PubMed, Cochrane and Embase databases for studies from inception to the 1st of January 2021. We included studies involving patients with sepsis or septic shock. All authors reported our primary outcome of all-cause mortality and clearly compared culture-negative versus culture-positive patients with clinically relevant secondary outcomes (ICU length of stay, hospital length of stay, mechanical ventilation requirements, mechanical ventilation duration and renal replacement requirements). Results were expressed as odds ratio (OR) and mean difference (MD) with accompanying 95% confidence interval (CI). Results: Seven studies including 22,655 patients were included. The primary outcome of this meta-analysis showed that there was no statistically significant difference in the all-cause mortality between two groups (OR = 0.95; 95% CI, 0.88 to 1.01; P = 0.12; Chi-2 = 30.71; I2 = 80%). Secondary outcomes demonstrated that there was no statistically significant difference in the ICU length of stay (MD = </w:instrText>
      </w:r>
      <w:r w:rsidR="00503777" w:rsidRPr="00422DDB">
        <w:rPr>
          <w:noProof/>
          <w:vertAlign w:val="superscript"/>
        </w:rPr>
        <w:instrText>−</w:instrText>
      </w:r>
      <w:r w:rsidR="00503777" w:rsidRPr="00422DDB">
        <w:rPr>
          <w:rFonts w:ascii="Goudy Old Style" w:hAnsi="Goudy Old Style"/>
          <w:noProof/>
          <w:vertAlign w:val="superscript"/>
        </w:rPr>
        <w:instrText xml:space="preserve"> 0.19;95% CI, </w:instrText>
      </w:r>
      <w:r w:rsidR="00503777" w:rsidRPr="00422DDB">
        <w:rPr>
          <w:noProof/>
          <w:vertAlign w:val="superscript"/>
        </w:rPr>
        <w:instrText>−</w:instrText>
      </w:r>
      <w:r w:rsidR="00503777" w:rsidRPr="00422DDB">
        <w:rPr>
          <w:rFonts w:ascii="Goudy Old Style" w:hAnsi="Goudy Old Style"/>
          <w:noProof/>
          <w:vertAlign w:val="superscript"/>
        </w:rPr>
        <w:instrText xml:space="preserve"> 0.42 to 0.04; P = 0.10;Chi-2 = 5.73; I2 = 48%), mechanical ventilation requirements (OR = 1.02; 95% CI, 0.94 to 1.11; P = 0.61; Chi2 = 6.32; I2 = 53%) and renal replacement requirements (OR = 0.82; 95% CI, 0.67 to 1.01; P = 0.06; Chi-2 = 1.21; I2 = 0%) between two groups. The hospital length of stay of culture-positive group was longer than that of the culture-negative group (MD = </w:instrText>
      </w:r>
      <w:r w:rsidR="00503777" w:rsidRPr="00422DDB">
        <w:rPr>
          <w:noProof/>
          <w:vertAlign w:val="superscript"/>
        </w:rPr>
        <w:instrText>−</w:instrText>
      </w:r>
      <w:r w:rsidR="00503777" w:rsidRPr="00422DDB">
        <w:rPr>
          <w:rFonts w:ascii="Goudy Old Style" w:hAnsi="Goudy Old Style"/>
          <w:noProof/>
          <w:vertAlign w:val="superscript"/>
        </w:rPr>
        <w:instrText xml:space="preserve"> 3.48;95% CI, </w:instrText>
      </w:r>
      <w:r w:rsidR="00503777" w:rsidRPr="00422DDB">
        <w:rPr>
          <w:noProof/>
          <w:vertAlign w:val="superscript"/>
        </w:rPr>
        <w:instrText>−</w:instrText>
      </w:r>
      <w:r w:rsidR="00503777" w:rsidRPr="00422DDB">
        <w:rPr>
          <w:rFonts w:ascii="Goudy Old Style" w:hAnsi="Goudy Old Style"/>
          <w:noProof/>
          <w:vertAlign w:val="superscript"/>
        </w:rPr>
        <w:instrText xml:space="preserve"> 4.34 to </w:instrText>
      </w:r>
      <w:r w:rsidR="00503777" w:rsidRPr="00422DDB">
        <w:rPr>
          <w:noProof/>
          <w:vertAlign w:val="superscript"/>
        </w:rPr>
        <w:instrText>−</w:instrText>
      </w:r>
      <w:r w:rsidR="00503777" w:rsidRPr="00422DDB">
        <w:rPr>
          <w:rFonts w:ascii="Goudy Old Style" w:hAnsi="Goudy Old Style"/>
          <w:noProof/>
          <w:vertAlign w:val="superscript"/>
        </w:rPr>
        <w:instrText xml:space="preserve"> 2.63; P &lt; 0.00001;Chi-2 = 1.03; I2 = 0%). The mechanical ventilation duration of culture-positive group was longer than that of the culture-negative group (MD = </w:instrText>
      </w:r>
      <w:r w:rsidR="00503777" w:rsidRPr="00422DDB">
        <w:rPr>
          <w:noProof/>
          <w:vertAlign w:val="superscript"/>
        </w:rPr>
        <w:instrText>−</w:instrText>
      </w:r>
      <w:r w:rsidR="00503777" w:rsidRPr="00422DDB">
        <w:rPr>
          <w:rFonts w:ascii="Goudy Old Style" w:hAnsi="Goudy Old Style"/>
          <w:noProof/>
          <w:vertAlign w:val="superscript"/>
        </w:rPr>
        <w:instrText xml:space="preserve"> 0.64;95% CI, </w:instrText>
      </w:r>
      <w:r w:rsidR="00503777" w:rsidRPr="00422DDB">
        <w:rPr>
          <w:noProof/>
          <w:vertAlign w:val="superscript"/>
        </w:rPr>
        <w:instrText>−</w:instrText>
      </w:r>
      <w:r w:rsidR="00503777" w:rsidRPr="00422DDB">
        <w:rPr>
          <w:rFonts w:ascii="Goudy Old Style" w:hAnsi="Goudy Old Style"/>
          <w:noProof/>
          <w:vertAlign w:val="superscript"/>
        </w:rPr>
        <w:instrText xml:space="preserve"> 0.88 to </w:instrText>
      </w:r>
      <w:r w:rsidR="00503777" w:rsidRPr="00422DDB">
        <w:rPr>
          <w:noProof/>
          <w:vertAlign w:val="superscript"/>
        </w:rPr>
        <w:instrText>−</w:instrText>
      </w:r>
      <w:r w:rsidR="00503777" w:rsidRPr="00422DDB">
        <w:rPr>
          <w:rFonts w:ascii="Goudy Old Style" w:hAnsi="Goudy Old Style"/>
          <w:noProof/>
          <w:vertAlign w:val="superscript"/>
        </w:rPr>
        <w:instrText xml:space="preserve"> 0.4; P &lt; 0.00001;Chi-2 = 4.86; I2 = 38%). Conclusions: Culture positivity or negativity was not associated with mortality of sepsis or septic shock patients. Furthermore, culture-positive septic patients had similar ICU length of stay, mechanical ventilation requirements and renal replacement requirements as those culture-negative patients. The hospital length of stay and mechanical ventilation duration of culture-positive septic patients were both longer than that of the culture-negative patients. Further large-sc…","author":[{"dropping-particle":"","family":"Li","given":"Yuting","non-dropping-particle":"","parse-names":false,"suffix":""},{"dropping-particle":"","family":"Guo","given":"Jianxing","non-dropping-particle":"","parse-names":false,"suffix":""},{"dropping-particle":"","family":"Yang","given":"Hongmei","non-dropping-particle":"","parse-names":false,"suffix":""},{"dropping-particle":"","family":"Li","given":"Hongxiang","non-dropping-particle":"","parse-names":false,"suffix":""},{"dropping-particle":"","family":"Shen","given":"Yangyang","non-dropping-particle":"","parse-names":false,"suffix":""},{"dropping-particle":"","family":"Zhang","given":"Dong","non-dropping-particle":"","parse-names":false,"suffix":""}],"container-title":"Critical Care","id":"ITEM-1","issue":"1","issued":{"date-parts":[["2021"]]},"page":"1-9","publisher":"BioMed Central","title":"Comparison of culture-negative and culture-positive sepsis or septic shock: a systematic review and meta-analysis","type":"article-journal","volume":"25"},"uris":["http://www.mendeley.com/documents/?uuid=736b94a9-85f3-4ed7-b682-9bec0326cf0d"]}],"mendeley":{"formattedCitation":"(13)","plainTextFormattedCitation":"(13)","previouslyFormattedCitation":"(12)"},"properties":{"noteIndex":0},"schema":"https://github.com/citation-style-language/schema/raw/master/csl-citation.json"}</w:instrText>
      </w:r>
      <w:r w:rsidR="00EB2BA8" w:rsidRPr="00422DDB">
        <w:rPr>
          <w:rFonts w:ascii="Goudy Old Style" w:hAnsi="Goudy Old Style"/>
          <w:noProof/>
          <w:vertAlign w:val="superscript"/>
        </w:rPr>
        <w:fldChar w:fldCharType="separate"/>
      </w:r>
      <w:r w:rsidR="00503777" w:rsidRPr="00422DDB">
        <w:rPr>
          <w:rFonts w:ascii="Goudy Old Style" w:hAnsi="Goudy Old Style"/>
          <w:noProof/>
          <w:vertAlign w:val="superscript"/>
        </w:rPr>
        <w:t>13</w:t>
      </w:r>
      <w:r w:rsidR="00EB2BA8" w:rsidRPr="00422DDB">
        <w:rPr>
          <w:rFonts w:ascii="Goudy Old Style" w:hAnsi="Goudy Old Style"/>
          <w:noProof/>
          <w:vertAlign w:val="superscript"/>
        </w:rPr>
        <w:fldChar w:fldCharType="end"/>
      </w:r>
      <w:r w:rsidR="00EB2BA8" w:rsidRPr="00422DDB">
        <w:rPr>
          <w:rFonts w:ascii="Goudy Old Style" w:hAnsi="Goudy Old Style"/>
        </w:rPr>
        <w:t xml:space="preserve"> </w:t>
      </w:r>
      <w:r w:rsidR="001E731A" w:rsidRPr="00422DDB">
        <w:rPr>
          <w:rFonts w:ascii="Goudy Old Style" w:hAnsi="Goudy Old Style"/>
        </w:rPr>
        <w:t>In early sepsis, c</w:t>
      </w:r>
      <w:r w:rsidR="00F72591" w:rsidRPr="00422DDB">
        <w:rPr>
          <w:rFonts w:ascii="Goudy Old Style" w:hAnsi="Goudy Old Style"/>
        </w:rPr>
        <w:t xml:space="preserve">ollection of blood </w:t>
      </w:r>
      <w:r w:rsidR="00CE07FD">
        <w:rPr>
          <w:rFonts w:ascii="Goudy Old Style" w:hAnsi="Goudy Old Style"/>
        </w:rPr>
        <w:t>culture</w:t>
      </w:r>
      <w:r w:rsidR="00F72591" w:rsidRPr="00422DDB">
        <w:rPr>
          <w:rFonts w:ascii="Goudy Old Style" w:hAnsi="Goudy Old Style"/>
        </w:rPr>
        <w:t>s after administration of empirical antibiotic therapy decreases sensitivity</w:t>
      </w:r>
      <w:r w:rsidR="0093545E" w:rsidRPr="00422DDB">
        <w:rPr>
          <w:rFonts w:ascii="Goudy Old Style" w:hAnsi="Goudy Old Style"/>
        </w:rPr>
        <w:t>.</w:t>
      </w:r>
      <w:r w:rsidR="00F72591" w:rsidRPr="00422DDB">
        <w:rPr>
          <w:rFonts w:ascii="Goudy Old Style" w:hAnsi="Goudy Old Style"/>
          <w:noProof/>
          <w:vertAlign w:val="superscript"/>
        </w:rPr>
        <w:fldChar w:fldCharType="begin" w:fldLock="1"/>
      </w:r>
      <w:r w:rsidR="00503777" w:rsidRPr="00422DDB">
        <w:rPr>
          <w:rFonts w:ascii="Goudy Old Style" w:hAnsi="Goudy Old Style"/>
          <w:noProof/>
          <w:vertAlign w:val="superscript"/>
        </w:rPr>
        <w:instrText>ADDIN CSL_CITATION {"citationItems":[{"id":"ITEM-1","itemData":{"DOI":"10.7326/M19-1696","ISSN":"15393704","PMID":"31525774","abstract":"Background: Administering antimicrobial agents before obtaining blood cultures could potentially decrease time to treatment and improve outcomes, but it is unclear how this strategy affects diagnostic sensitivity. Objective: To determine the sensitivity of blood cultures obtained shortly after initiation of antimicrobial therapy in patients with severe manifestations of sepsis. Design: Patient-level, single-group, diagnostic study. (ClinicalTrials.gov: NCT01867905). Setting: 7 emergency departments in North America. Participants: Adults with severe manifestations of sepsis, including systolic blood pressure less than 90 mm Hg or a serum lactate level of 4 mmol/L or more. Intervention: Blood cultures were obtained before and within 120 minutes after initiation of antimicrobial treatment. Measurements: Sensitivity of blood cultures obtained after initiation of antimicrobial therapy. Results: Of 3164 participants screened, 325 were included in the study (mean age, 65.6 years; 62.8% men) and had repeated blood cultures drawn after initiation of antimicrobial therapy (median time, 70 minutes [interquartile range, 50 to 110 minutes]). Preantimicrobial blood cultures were positive for 1 or more microbial pathogens in 102 of 325 (31.4%) patients. Postantimicrobial blood cultures were positive for 1 or more microbial pathogens in 63 of 325 (19.4%) patients. The absolute difference in the proportion of positive blood cultures between pre- and postantimicrobial testing was 12.0% (95% CI, 5.4% to 18.6%; P &lt; 0.001). Sensitivity of postantimicrobial culture was 52.9% (CI, 42.8% to 62.9%). When the results of other microbiological cultures were included, microbial pathogens were found in 69 of 102 (67.6% [CI, 57.7% to 76.6%]) patients. Limitation: Only a proportion of screened patients were recruited. Conclusion: Among patients with severe manifestations of sepsis, initiation of empirical antimicrobial therapy significantly reduces the sensitivity of blood cultures drawn shortly after treatment initiation. Primary Funding Source: Vancouver Coastal Health, St. Paul's Hospital Foundation Emergency Department Support Fund, the Fonds de recherche Santé-Québec, and the Maricopa Medical Foundation.","author":[{"dropping-particle":"","family":"Cheng","given":"Matthew P.","non-dropping-particle":"","parse-names":false,"suffix":""},{"dropping-particle":"","family":"Stenstrom","given":"Robert","non-dropping-particle":"","parse-names":false,"suffix":""},{"dropping-particle":"","family":"Paquette","given":"Katryn","non-dropping-particle":"","parse-names":false,"suffix":""},{"dropping-particle":"","family":"Stabler","given":"Sarah N.","non-dropping-particle":"","parse-names":false,"suffix":""},{"dropping-particle":"","family":"Akhter","given":"Murtaza","non-dropping-particle":"","parse-names":false,"suffix":""},{"dropping-particle":"","family":"Davidson","given":"Adam C.","non-dropping-particle":"","parse-names":false,"suffix":""},{"dropping-particle":"","family":"Gavric","given":"Marko","non-dropping-particle":"","parse-names":false,"suffix":""},{"dropping-particle":"","family":"Lawandi","given":"Alexander","non-dropping-particle":"","parse-names":false,"suffix":""},{"dropping-particle":"","family":"Jinah","given":"Rehman","non-dropping-particle":"","parse-names":false,"suffix":""},{"dropping-particle":"","family":"Saeed","given":"Zahid","non-dropping-particle":"","parse-names":false,"suffix":""},{"dropping-particle":"","family":"Demir","given":"Koray","non-dropping-particle":"","parse-names":false,"suffix":""},{"dropping-particle":"","family":"Huang","given":"Kelly","non-dropping-particle":"","parse-names":false,"suffix":""},{"dropping-particle":"","family":"Mahpour","given":"Amirali","non-dropping-particle":"","parse-names":false,"suffix":""},{"dropping-particle":"","family":"Shamatutu","given":"Chris","non-dropping-particle":"","parse-names":false,"suffix":""},{"dropping-particle":"","family":"Caya","given":"Chelsea","non-dropping-particle":"","parse-names":false,"suffix":""},{"dropping-particle":"","family":"Troquet","given":"Jean Marc","non-dropping-particle":"","parse-names":false,"suffix":""},{"dropping-particle":"","family":"Clark","given":"Greg","non-dropping-particle":"","parse-names":false,"suffix":""},{"dropping-particle":"","family":"Yansouni","given":"Cedric P.","non-dropping-particle":"","parse-names":false,"suffix":""},{"dropping-particle":"","family":"Sweet","given":"David","non-dropping-particle":"","parse-names":false,"suffix":""}],"container-title":"Annals of internal medicine","id":"ITEM-1","issue":"8","issued":{"date-parts":[["2019"]]},"page":"547-554","title":"Blood Culture Results Before and After Antimicrobial Administration in Patients With Severe Manifestations of Sepsis: A Diagnostic Study","type":"article-journal","volume":"171"},"uris":["http://www.mendeley.com/documents/?uuid=ae926a6b-4faf-4d46-851a-1a01645589a7"]},{"id":"ITEM-2","itemData":{"DOI":"10.1016/j.cmi.2018.05.016","ISSN":"14690691","PMID":"29879482","abstract":"Objectives: Sepsis guidelines recommend obtaining blood cultures before starting anti-infective therapy in patients with sepsis. However, little is known of how antibiotic treatment before sampling affects bacterial growth. The aim of this study was to compare the results of blood cultures drawn before and during antibiotic therapy. Methods: Prospective clinical cohort study of septic patients. Adult intensive care unit patients with two or three blood culture sets at the beginning of sepsis between 2010 and 2017 were included. Patients with blood culture samples obtained before antibiotic therapy were compared with patients with samples taken during antibiotic therapy. Blood culture positivity, defined as presence of a microbiological pathogen, was compared between the groups. Logistic regression was performed to adjust the impact of different factors with respect to blood culture positivity. Results: In total, 559 patients with 1364 blood culture sets at the beginning of sepsis were analysed. Blood culture positivity was 50.6% (78/154) among patients with sepsis who did not receive antibiotics and only 27.7% (112/405) in those who were already receiving antibiotics (p &lt;0.001). Logistic regression revealed antibiotic therapy as an independent factor for less pathogen identification (odds ratio 0.4; 95% CI 0.3–0.6). Gram-positive pathogens (28.3% (111/392) versus 11.9% (116/972); p &lt;0.001) and also Gram-negative pathogens (16.3% (64/392) versus 9.3% (90/972); p &lt;0.001) were more frequent in blood culture sets drawn before antibiotic therapy compared with sets obtained during antibiotic therapy. Conclusions: Obtaining blood cultures during antibiotic therapy is associated with a significant loss of pathogen detection. This strongly emphasizes the current recommendation to obtain blood cultures before antibiotic administration in patients with sepsis.","author":[{"dropping-particle":"","family":"Scheer","given":"C. S.","non-dropping-particle":"","parse-names":false,"suffix":""},{"dropping-particle":"","family":"Fuchs","given":"C.","non-dropping-particle":"","parse-names":false,"suffix":""},{"dropping-particle":"","family":"Gründling","given":"M.","non-dropping-particle":"","parse-names":false,"suffix":""},{"dropping-particle":"","family":"Vollmer","given":"M.","non-dropping-particle":"","parse-names":false,"suffix":""},{"dropping-particle":"","family":"Bast","given":"J.","non-dropping-particle":"","parse-names":false,"suffix":""},{"dropping-particle":"","family":"Bohnert","given":"J. A.","non-dropping-particle":"","parse-names":false,"suffix":""},{"dropping-particle":"","family":"Zimmermann","given":"K.","non-dropping-particle":"","parse-names":false,"suffix":""},{"dropping-particle":"","family":"Hahnenkamp","given":"K.","non-dropping-particle":"","parse-names":false,"suffix":""},{"dropping-particle":"","family":"Rehberg","given":"S.","non-dropping-particle":"","parse-names":false,"suffix":""},{"dropping-particle":"","family":"Kuhn","given":"S. O.","non-dropping-particle":"","parse-names":false,"suffix":""}],"container-title":"Clinical Microbiology and Infection","id":"ITEM-2","issue":"3","issued":{"date-parts":[["2019"]]},"page":"326-331","publisher":"Elsevier Ltd","title":"Impact of antibiotic administration on blood culture positivity at the beginning of sepsis: a prospective clinical cohort study","type":"article-journal","volume":"25"},"uris":["http://www.mendeley.com/documents/?uuid=026591c3-bcc7-4f32-bc3f-2463733d8e1f"]}],"mendeley":{"formattedCitation":"(1,14)","plainTextFormattedCitation":"(1,14)","previouslyFormattedCitation":"(1,13)"},"properties":{"noteIndex":0},"schema":"https://github.com/citation-style-language/schema/raw/master/csl-citation.json"}</w:instrText>
      </w:r>
      <w:r w:rsidR="00F72591" w:rsidRPr="00422DDB">
        <w:rPr>
          <w:rFonts w:ascii="Goudy Old Style" w:hAnsi="Goudy Old Style"/>
          <w:noProof/>
          <w:vertAlign w:val="superscript"/>
        </w:rPr>
        <w:fldChar w:fldCharType="separate"/>
      </w:r>
      <w:r w:rsidR="00503777" w:rsidRPr="00422DDB">
        <w:rPr>
          <w:rFonts w:ascii="Goudy Old Style" w:hAnsi="Goudy Old Style"/>
          <w:noProof/>
          <w:vertAlign w:val="superscript"/>
        </w:rPr>
        <w:t>1,14</w:t>
      </w:r>
      <w:r w:rsidR="00F72591" w:rsidRPr="00422DDB">
        <w:rPr>
          <w:rFonts w:ascii="Goudy Old Style" w:hAnsi="Goudy Old Style"/>
          <w:noProof/>
          <w:vertAlign w:val="superscript"/>
        </w:rPr>
        <w:fldChar w:fldCharType="end"/>
      </w:r>
      <w:r w:rsidR="002510B4" w:rsidRPr="00422DDB">
        <w:rPr>
          <w:rFonts w:ascii="Goudy Old Style" w:hAnsi="Goudy Old Style"/>
        </w:rPr>
        <w:t xml:space="preserve"> It is necessary to perform molecular identification to detect microorganisms in negative blood </w:t>
      </w:r>
      <w:r w:rsidR="00CE07FD">
        <w:rPr>
          <w:rFonts w:ascii="Goudy Old Style" w:hAnsi="Goudy Old Style"/>
        </w:rPr>
        <w:t>culture</w:t>
      </w:r>
      <w:r w:rsidR="002510B4" w:rsidRPr="00422DDB">
        <w:rPr>
          <w:rFonts w:ascii="Goudy Old Style" w:hAnsi="Goudy Old Style"/>
        </w:rPr>
        <w:t xml:space="preserve"> results</w:t>
      </w:r>
      <w:r w:rsidR="0093545E" w:rsidRPr="00422DDB">
        <w:rPr>
          <w:rFonts w:ascii="Goudy Old Style" w:hAnsi="Goudy Old Style"/>
        </w:rPr>
        <w:t>.</w:t>
      </w:r>
      <w:r w:rsidR="002510B4" w:rsidRPr="00422DDB">
        <w:rPr>
          <w:rFonts w:ascii="Goudy Old Style" w:hAnsi="Goudy Old Style"/>
          <w:vertAlign w:val="superscript"/>
        </w:rPr>
        <w:fldChar w:fldCharType="begin" w:fldLock="1"/>
      </w:r>
      <w:r w:rsidR="00503777" w:rsidRPr="00422DDB">
        <w:rPr>
          <w:rFonts w:ascii="Goudy Old Style" w:hAnsi="Goudy Old Style"/>
          <w:vertAlign w:val="superscript"/>
        </w:rPr>
        <w:instrText>ADDIN CSL_CITATION {"citationItems":[{"id":"ITEM-1","itemData":{"DOI":"10.4269/ajtmh.20-1348","ISSN":"14761645","PMID":"33646978","abstract":"Bloodstream infections cause substantial morbidity and mortality. However, despite clinical suspicion of such infections, blood cultures are often negative. We investigated blood cultures that were negative after 5 days of incubation for the presence of bacterial pathogens using specific (Rickettsia spp. and Leptospira spp.) and a broad-range 16S rRNA PCR. From 190 samples, 53 (27.9%) were positive for bacterial DNA. There was also a high background incidence of dengue (90/112 patient serum positive, 80.4%). Twelve samples (6.3%) were positive for Rickettsia spp., including two Rickettsia typhi. The 16S rRNA PCR gave 41 positives; Escherichia coli and Klebsiella pneumoniae were identified in 11 and eight samples, respectively, and one Leptospira species was detected. Molecular investigation of negative blood cultures can identify potential pathogens that will otherwise be missed by routine culture. Patient management would have been influenced in all 53 patients for whom a bacterial organism was identified, and 2.3–6.1% of patients would likely have had an altered final outcome. These findings warrant further study, particularly to determine the cost–benefit for routine use, ways of implementation, and timing of PCR for organisms such as Rickettsia and Leptospira, which are important pathogens in rural Asia.","author":[{"dropping-particle":"","family":"Ter","given":"Soo Kai","non-dropping-particle":"","parse-names":false,"suffix":""},{"dropping-particle":"","family":"Rattanavong","given":"Sayaphet","non-dropping-particle":"","parse-names":false,"suffix":""},{"dropping-particle":"","family":"Roberts","given":"Tamalee","non-dropping-particle":"","parse-names":false,"suffix":""},{"dropping-particle":"","family":"Sengduangphachanh","given":"Amphonesavanh","non-dropping-particle":"","parse-names":false,"suffix":""},{"dropping-particle":"","family":"Sihalath","given":"Somsavanh","non-dropping-particle":"","parse-names":false,"suffix":""},{"dropping-particle":"","family":"Panapruksachat","given":"Siribun","non-dropping-particle":"","parse-names":false,"suffix":""},{"dropping-particle":"","family":"Vongsouvath","given":"Manivanh","non-dropping-particle":"","parse-names":false,"suffix":""},{"dropping-particle":"","family":"Newton","given":"Paul N.","non-dropping-particle":"","parse-names":false,"suffix":""},{"dropping-particle":"","family":"Simpson","given":"Andrew J.H.","non-dropping-particle":"","parse-names":false,"suffix":""},{"dropping-particle":"","family":"Robinson","given":"Matthew T.","non-dropping-particle":"","parse-names":false,"suffix":""}],"container-title":"American Journal of Tropical Medicine and Hygiene","id":"ITEM-1","issue":"4","issued":{"date-parts":[["2021"]]},"page":"1582-1585","title":"Molecular detection of pathogens in negative blood cultures in the Lao People’s Democratic Republic","type":"article-journal","volume":"104"},"uris":["http://www.mendeley.com/documents/?uuid=3890d177-7404-4c29-8798-ae404a032e0c"]}],"mendeley":{"formattedCitation":"(15)","plainTextFormattedCitation":"(15)","previouslyFormattedCitation":"(14)"},"properties":{"noteIndex":0},"schema":"https://github.com/citation-style-language/schema/raw/master/csl-citation.json"}</w:instrText>
      </w:r>
      <w:r w:rsidR="002510B4" w:rsidRPr="00422DDB">
        <w:rPr>
          <w:rFonts w:ascii="Goudy Old Style" w:hAnsi="Goudy Old Style"/>
          <w:vertAlign w:val="superscript"/>
        </w:rPr>
        <w:fldChar w:fldCharType="separate"/>
      </w:r>
      <w:r w:rsidR="00503777" w:rsidRPr="00422DDB">
        <w:rPr>
          <w:rFonts w:ascii="Goudy Old Style" w:hAnsi="Goudy Old Style"/>
          <w:noProof/>
          <w:vertAlign w:val="superscript"/>
        </w:rPr>
        <w:t>15</w:t>
      </w:r>
      <w:r w:rsidR="002510B4" w:rsidRPr="00422DDB">
        <w:rPr>
          <w:rFonts w:ascii="Goudy Old Style" w:hAnsi="Goudy Old Style"/>
          <w:vertAlign w:val="superscript"/>
        </w:rPr>
        <w:fldChar w:fldCharType="end"/>
      </w:r>
    </w:p>
    <w:p w14:paraId="3D1442E5" w14:textId="6461A77F" w:rsidR="000B4C68" w:rsidRPr="00422DDB" w:rsidRDefault="00F5220A" w:rsidP="00422DDB">
      <w:pPr>
        <w:spacing w:line="276" w:lineRule="auto"/>
        <w:ind w:firstLine="567"/>
        <w:jc w:val="both"/>
        <w:rPr>
          <w:rFonts w:ascii="Goudy Old Style" w:hAnsi="Goudy Old Style"/>
        </w:rPr>
      </w:pPr>
      <w:r w:rsidRPr="00422DDB">
        <w:rPr>
          <w:rFonts w:ascii="Goudy Old Style" w:hAnsi="Goudy Old Style"/>
        </w:rPr>
        <w:t>The combination of infection biomarkers shows accurate results for the identification of causative agents of infections in the body, such as bloodstream infections</w:t>
      </w:r>
      <w:r w:rsidR="0093545E" w:rsidRPr="00422DDB">
        <w:rPr>
          <w:rFonts w:ascii="Goudy Old Style" w:hAnsi="Goudy Old Style"/>
        </w:rPr>
        <w:t>.</w:t>
      </w:r>
      <w:r w:rsidRPr="00422DDB">
        <w:rPr>
          <w:rFonts w:ascii="Goudy Old Style" w:hAnsi="Goudy Old Style"/>
          <w:vertAlign w:val="superscript"/>
        </w:rPr>
        <w:fldChar w:fldCharType="begin" w:fldLock="1"/>
      </w:r>
      <w:r w:rsidR="00B528C6" w:rsidRPr="00422DDB">
        <w:rPr>
          <w:rFonts w:ascii="Goudy Old Style" w:hAnsi="Goudy Old Style"/>
          <w:vertAlign w:val="superscript"/>
        </w:rPr>
        <w:instrText>ADDIN CSL_CITATION {"citationItems":[{"id":"ITEM-1","itemData":{"DOI":"10.1080/14737159.2019.1660644","ISSN":"17448352","PMID":"31446810","author":[{"dropping-particle":"","family":"Sweeney","given":"Timothy E.","non-dropping-particle":"","parse-names":false,"suffix":""},{"dropping-particle":"","family":"Liesenfeld","given":"Oliver","non-dropping-particle":"","parse-names":false,"suffix":""},{"dropping-particle":"","family":"May","given":"Larissa","non-dropping-particle":"","parse-names":false,"suffix":""}],"container-title":"Expert Review of Molecular Diagnostics","id":"ITEM-1","issue":"11","issued":{"date-parts":[["2019"]]},"page":"959-962","publisher":"Taylor &amp; Francis","title":"Diagnosis of bacterial sepsis: why are tests for bacteremia not sufficient?","type":"article-journal","volume":"19"},"uris":["http://www.mendeley.com/documents/?uuid=ac51ccba-509d-465c-9e54-bb1b9686ac28"]},{"id":"ITEM-2","itemData":{"PMID":"32227831","abstract":"Guidelines published in 2016 provide a revised definition of sepsis: life-threatening organ dysfunction caused by a dysregulated host response to infection. The guidelines define septic shock as sepsis with circulatory, cellular, and metabolic dysfunction that is associated with a higher risk of mortality. The measurement of serum lactate has been incorporated into the latest septic shock definition. The guidelines recommend the Sequential Organ Failure Assessment (original and quick versions) as an \nimportant tool for early diagnosis. Respiratory, gastrointestinal, genitourinary, and skin and soft tissue infections are the most common sources of sepsis. Pneumonia is the most common cause of sepsis. Although many patients with sepsis have fever, the clinical manifestation can be subtle, particularly in older patients and those who are immunocompromised. Initial evaluation of patients with suspected sepsis includes basic laboratory tests, cultures, imaging studies as indicated, and sepsis biomarkers such as procalcitonin and lactate levels. Fluid resuscitation is the priority in early management, including administering an intravenous crystalloid at 30 mL per kg within the first three hours. Antimicrobial therapy should also be initiated early. Most research indicates that antimicrobial therapy should be started within three hours of presentation. The latest guidelines recommend starting antimicrobials within one hour, but this is controversial. Vasopressor therapy is indicated if hypotension persists despite fluid administration. Future trials of sepsis management are focusing on improving long-term rates of readmission and death, physical disability, cognitive impairment, and quality of life.","author":[{"dropping-particle":"","family":"Robert Gauer","given":"","non-dropping-particle":"","parse-names":false,"suffix":""},{"dropping-particle":"","family":"Damon Forbes","given":"","non-dropping-particle":"","parse-names":false,"suffix":""},{"dropping-particle":"","family":"Nathan Boyer","given":"","non-dropping-particle":"","parse-names":false,"suffix":""}],"container-title":"American Family Physician","id":"ITEM-2","issue":"7","issued":{"date-parts":[["2020"]]},"page":"409-418","title":"Sepsis: Diagnosis and Management","type":"article-journal","volume":"101"},"uris":["http://www.mendeley.com/documents/?uuid=fa8920f4-9d07-4ac2-9d45-f108132eddd6"]}],"mendeley":{"formattedCitation":"(2,3)","plainTextFormattedCitation":"(2,3)","previouslyFormattedCitation":"(2,3)"},"properties":{"noteIndex":0},"schema":"https://github.com/citation-style-language/schema/raw/master/csl-citation.json"}</w:instrText>
      </w:r>
      <w:r w:rsidRPr="00422DDB">
        <w:rPr>
          <w:rFonts w:ascii="Goudy Old Style" w:hAnsi="Goudy Old Style"/>
          <w:vertAlign w:val="superscript"/>
        </w:rPr>
        <w:fldChar w:fldCharType="separate"/>
      </w:r>
      <w:r w:rsidR="00B528C6" w:rsidRPr="00422DDB">
        <w:rPr>
          <w:rFonts w:ascii="Goudy Old Style" w:hAnsi="Goudy Old Style"/>
          <w:noProof/>
          <w:vertAlign w:val="superscript"/>
        </w:rPr>
        <w:t>2,3</w:t>
      </w:r>
      <w:r w:rsidRPr="00422DDB">
        <w:rPr>
          <w:rFonts w:ascii="Goudy Old Style" w:hAnsi="Goudy Old Style"/>
          <w:vertAlign w:val="superscript"/>
        </w:rPr>
        <w:fldChar w:fldCharType="end"/>
      </w:r>
      <w:r w:rsidR="006C5CBE" w:rsidRPr="00422DDB">
        <w:rPr>
          <w:rFonts w:ascii="Goudy Old Style" w:hAnsi="Goudy Old Style"/>
        </w:rPr>
        <w:t xml:space="preserve"> Infection control practices must be implemented when managing patients to prevent sepsis. With the increased risk of sepsis in hospitals, it is necessary to provide appropriate diagnostic services and administer appropriate and adequate antibiotics</w:t>
      </w:r>
      <w:r w:rsidR="0093545E" w:rsidRPr="00422DDB">
        <w:rPr>
          <w:rFonts w:ascii="Goudy Old Style" w:hAnsi="Goudy Old Style"/>
        </w:rPr>
        <w:t>.</w:t>
      </w:r>
      <w:r w:rsidR="006C5CBE" w:rsidRPr="00422DDB">
        <w:rPr>
          <w:rFonts w:ascii="Goudy Old Style" w:hAnsi="Goudy Old Style"/>
          <w:vertAlign w:val="superscript"/>
        </w:rPr>
        <w:fldChar w:fldCharType="begin" w:fldLock="1"/>
      </w:r>
      <w:r w:rsidR="00503777" w:rsidRPr="00422DDB">
        <w:rPr>
          <w:rFonts w:ascii="Goudy Old Style" w:hAnsi="Goudy Old Style"/>
          <w:vertAlign w:val="superscript"/>
        </w:rPr>
        <w:instrText>ADDIN CSL_CITATION {"citationItems":[{"id":"ITEM-1","itemData":{"author":[{"dropping-particle":"","family":"Kabi","given":"","non-dropping-particle":"","parse-names":false,"suffix":""}],"id":"ITEM-1","issued":{"date-parts":[["2020"]]},"title":"Clinical spectrum and risk factors for hospital</w:instrText>
      </w:r>
      <w:r w:rsidR="00503777" w:rsidRPr="00422DDB">
        <w:rPr>
          <w:vertAlign w:val="superscript"/>
        </w:rPr>
        <w:instrText>‑</w:instrText>
      </w:r>
      <w:r w:rsidR="00503777" w:rsidRPr="00422DDB">
        <w:rPr>
          <w:rFonts w:ascii="Goudy Old Style" w:hAnsi="Goudy Old Style"/>
          <w:vertAlign w:val="superscript"/>
        </w:rPr>
        <w:instrText>acquired.pdf","type":"article"},"uris":["http://www.mendeley.com/documents/?uuid=632df6e3-de65-42da-9ce4-f4e359bf94ac"]}],"mendeley":{"formattedCitation":"(16)","plainTextFormattedCitation":"(16)","previouslyFormattedCitation":"(15)"},"properties":{"noteIndex":0},"schema":"https://github.com/citation-style-language/schema/raw/master/csl-citation.json"}</w:instrText>
      </w:r>
      <w:r w:rsidR="006C5CBE" w:rsidRPr="00422DDB">
        <w:rPr>
          <w:rFonts w:ascii="Goudy Old Style" w:hAnsi="Goudy Old Style"/>
          <w:vertAlign w:val="superscript"/>
        </w:rPr>
        <w:fldChar w:fldCharType="separate"/>
      </w:r>
      <w:r w:rsidR="00503777" w:rsidRPr="00422DDB">
        <w:rPr>
          <w:rFonts w:ascii="Goudy Old Style" w:hAnsi="Goudy Old Style"/>
          <w:noProof/>
          <w:vertAlign w:val="superscript"/>
        </w:rPr>
        <w:t>16</w:t>
      </w:r>
      <w:r w:rsidR="006C5CBE" w:rsidRPr="00422DDB">
        <w:rPr>
          <w:rFonts w:ascii="Goudy Old Style" w:hAnsi="Goudy Old Style"/>
          <w:vertAlign w:val="superscript"/>
        </w:rPr>
        <w:fldChar w:fldCharType="end"/>
      </w:r>
      <w:r w:rsidRPr="00422DDB">
        <w:rPr>
          <w:rFonts w:ascii="Goudy Old Style" w:hAnsi="Goudy Old Style"/>
        </w:rPr>
        <w:t xml:space="preserve"> Optimal administration of antibiotics is important to ensure their effectiveness</w:t>
      </w:r>
      <w:r w:rsidR="00CE07FD">
        <w:rPr>
          <w:rFonts w:ascii="Goudy Old Style" w:hAnsi="Goudy Old Style"/>
          <w:lang w:val="id-ID"/>
        </w:rPr>
        <w:t xml:space="preserve">, </w:t>
      </w:r>
      <w:r w:rsidRPr="00422DDB">
        <w:rPr>
          <w:rFonts w:ascii="Goudy Old Style" w:hAnsi="Goudy Old Style"/>
        </w:rPr>
        <w:t>reduce the cost burden of antibiotic use and prevent antibiotic resistance</w:t>
      </w:r>
      <w:r w:rsidR="0093545E" w:rsidRPr="00422DDB">
        <w:rPr>
          <w:rFonts w:ascii="Goudy Old Style" w:hAnsi="Goudy Old Style"/>
        </w:rPr>
        <w:t>.</w:t>
      </w:r>
      <w:r w:rsidRPr="00422DDB">
        <w:rPr>
          <w:rFonts w:ascii="Goudy Old Style" w:hAnsi="Goudy Old Style"/>
          <w:vertAlign w:val="superscript"/>
        </w:rPr>
        <w:fldChar w:fldCharType="begin" w:fldLock="1"/>
      </w:r>
      <w:r w:rsidR="00503777" w:rsidRPr="00422DDB">
        <w:rPr>
          <w:rFonts w:ascii="Goudy Old Style" w:hAnsi="Goudy Old Style"/>
          <w:vertAlign w:val="superscript"/>
        </w:rPr>
        <w:instrText>ADDIN CSL_CITATION {"citationItems":[{"id":"ITEM-1","itemData":{"DOI":"10.21037/jtd.2020.01.47","ISSN":"20776624","abstract":"Sepsis is a medical emergency and life-threatening condition due to a dysregulated host response to infection, which is time-dependent and associated with unacceptably high mortality. Thus, when treating suspicious or confirmed cases of sepsis, clinicians must initiate broad-spectrum antimicrobials within the first hour of diagnosis. Optimizing antibiotic use is essential to ensure successful outcomes and to reduce adverse antibiotic effects, as well as preventing drug resistance. All likely pathogens involved should be considered to provide an appropriate antibiotic coverage. Clinicians must investigate on the previous risk of multidrug-resistant (MDR) pathogens, and the principle of individualized dosing should replace the principle of standard dosing. The loading dose is an initial higher dose of an antibiotic for all patients, yet an individualized treatment approach for further doses should be implemented according to pharmacokinetics (PK)/pharmacodynamics (PD) and the presence of renal/liver dysfunction. Extended or continuous infusion of beta-lactams and therapeutic drug monitoring (TDM) can help to achieve therapeutic levels of antimicrobials. Reevaluation of duration and appropriateness of treatment at regular intervals are also necessary. De-escalation and shortened courses of antimicrobials must be considered for most patients, except in some justified circumstances. Leadership, teamwork, antimicrobial stewardship (AS) frameworks, guideline’s recommendations on the optimal duration of treatments, de-escalation, and novel diagnostic stewardship approaches will help us to improve patients’ quality of care.","author":[{"dropping-particle":"","family":"Martínez","given":"María Luisa","non-dropping-particle":"","parse-names":false,"suffix":""},{"dropping-particle":"","family":"Plata-Menchaca","given":"Erika P.","non-dropping-particle":"","parse-names":false,"suffix":""},{"dropping-particle":"","family":"Ruiz-Rodríguez","given":"Juan Carlos","non-dropping-particle":"","parse-names":false,"suffix":""},{"dropping-particle":"","family":"Ferrer","given":"Ricard","non-dropping-particle":"","parse-names":false,"suffix":""}],"container-title":"Journal of Thoracic Disease","id":"ITEM-1","issue":"3","issued":{"date-parts":[["2020"]]},"page":"1007-1021","title":"An approach to antibiotic treatment in patients with sepsis","type":"article-journal","volume":"12"},"uris":["http://www.mendeley.com/documents/?uuid=7d8bb47a-026f-4b13-ba18-e893e20c7103"]},{"id":"ITEM-2","itemData":{"DOI":"10.1097/MCC.0000000000000751","ISBN":"0000000000000","ISSN":"15317072","PMID":"32773615","abstract":"Purpose of review The traditional approach to sepsis treatment utilizes broad-spectrum antibiotics. Unfortunately, a significant proportion of infected patients have 'culture-negative' sepsis despite appropriate microbiologic assessment. Recent findings There has been increased interest in the past decade on the treatment of culture-negative sepsis. Outcome data comparing culture-negative sepsis with culture-positive sepsis are mixed and it is unclear if culturenegative sepsis is a distinct entity. Recent recommendations promoting antibiotic de-escalation in culturenegative sepsis can be difficult to implement. A variety of strategies have been suggested for limiting antibiotic courses among patients with negative cultures, including limiting antibiotic durations, use of antibiotic stewardship programs, early consideration of narrow antibiotics, rapid diagnostic technology, and eliminating anti-MRSA therapy based on surveillance swabs. Summary Owing to the difficulty inherent in studying the lack of positive data, and to the uncertainty surrounding diagnosis in patients with culture-negative sepsis, prospective data to guide antibiotic choices are lacking. However, antibiotic de-escalation in culture-negative sepsis is both recommended and feasible in patients showing clinical signs of improvement. Increased use of rapid diagnostics, careful consideration of antibiotic necessity, and antibiotic stewardship programs may result in less antibiotic days and better outcomes.","author":[{"dropping-particle":"","family":"Thorndike","given":"Jonathan","non-dropping-particle":"","parse-names":false,"suffix":""},{"dropping-particle":"","family":"Kollef","given":"Marin H.","non-dropping-particle":"","parse-names":false,"suffix":""}],"container-title":"Current Opinion in Critical Care","id":"ITEM-2","issue":"5","issued":{"date-parts":[["2020"]]},"page":"473-477","title":"Culture-negative sepsis","type":"article-journal","volume":"26"},"uris":["http://www.mendeley.com/documents/?uuid=72c01f24-5dae-4102-b196-94fcc4b35e9b"]}],"mendeley":{"formattedCitation":"(17,18)","plainTextFormattedCitation":"(17,18)","previouslyFormattedCitation":"(16,17)"},"properties":{"noteIndex":0},"schema":"https://github.com/citation-style-language/schema/raw/master/csl-citation.json"}</w:instrText>
      </w:r>
      <w:r w:rsidRPr="00422DDB">
        <w:rPr>
          <w:rFonts w:ascii="Goudy Old Style" w:hAnsi="Goudy Old Style"/>
          <w:vertAlign w:val="superscript"/>
        </w:rPr>
        <w:fldChar w:fldCharType="separate"/>
      </w:r>
      <w:r w:rsidR="00503777" w:rsidRPr="00422DDB">
        <w:rPr>
          <w:rFonts w:ascii="Goudy Old Style" w:hAnsi="Goudy Old Style"/>
          <w:noProof/>
          <w:vertAlign w:val="superscript"/>
        </w:rPr>
        <w:t>17,18</w:t>
      </w:r>
      <w:r w:rsidRPr="00422DDB">
        <w:rPr>
          <w:rFonts w:ascii="Goudy Old Style" w:hAnsi="Goudy Old Style"/>
          <w:vertAlign w:val="superscript"/>
        </w:rPr>
        <w:fldChar w:fldCharType="end"/>
      </w:r>
      <w:r w:rsidR="002510B4" w:rsidRPr="00422DDB">
        <w:rPr>
          <w:rFonts w:ascii="Goudy Old Style" w:hAnsi="Goudy Old Style"/>
        </w:rPr>
        <w:t xml:space="preserve"> </w:t>
      </w:r>
    </w:p>
    <w:p w14:paraId="71CECD16" w14:textId="4FC89A58" w:rsidR="000B4127" w:rsidRPr="00422DDB" w:rsidRDefault="00C90FE0" w:rsidP="00422DDB">
      <w:pPr>
        <w:spacing w:line="276" w:lineRule="auto"/>
        <w:ind w:firstLine="567"/>
        <w:jc w:val="both"/>
        <w:rPr>
          <w:rFonts w:ascii="Goudy Old Style" w:hAnsi="Goudy Old Style"/>
        </w:rPr>
      </w:pPr>
      <w:r w:rsidRPr="00422DDB">
        <w:rPr>
          <w:rFonts w:ascii="Goudy Old Style" w:hAnsi="Goudy Old Style"/>
        </w:rPr>
        <w:t xml:space="preserve">Contamination occurred when a single positive blood </w:t>
      </w:r>
      <w:r w:rsidR="00CE07FD">
        <w:rPr>
          <w:rFonts w:ascii="Goudy Old Style" w:hAnsi="Goudy Old Style"/>
        </w:rPr>
        <w:t>culture</w:t>
      </w:r>
      <w:r w:rsidRPr="00422DDB">
        <w:rPr>
          <w:rFonts w:ascii="Goudy Old Style" w:hAnsi="Goudy Old Style"/>
        </w:rPr>
        <w:t xml:space="preserve"> bottle was found and the bacteria identified as coagulase-negative </w:t>
      </w:r>
      <w:r w:rsidRPr="00422DDB">
        <w:rPr>
          <w:rFonts w:ascii="Goudy Old Style" w:hAnsi="Goudy Old Style"/>
          <w:i/>
          <w:iCs/>
        </w:rPr>
        <w:t>Staphylococcus, Bacillus, Propionibacterium acnes</w:t>
      </w:r>
      <w:r w:rsidRPr="00422DDB">
        <w:rPr>
          <w:rFonts w:ascii="Goudy Old Style" w:hAnsi="Goudy Old Style"/>
        </w:rPr>
        <w:t xml:space="preserve">, or </w:t>
      </w:r>
      <w:r w:rsidRPr="00422DDB">
        <w:rPr>
          <w:rFonts w:ascii="Goudy Old Style" w:hAnsi="Goudy Old Style"/>
          <w:i/>
          <w:iCs/>
        </w:rPr>
        <w:t>Corynebacterium</w:t>
      </w:r>
      <w:r w:rsidRPr="00422DDB">
        <w:rPr>
          <w:rFonts w:ascii="Goudy Old Style" w:hAnsi="Goudy Old Style"/>
        </w:rPr>
        <w:t xml:space="preserve"> species</w:t>
      </w:r>
      <w:r w:rsidR="0093545E" w:rsidRPr="00422DDB">
        <w:rPr>
          <w:rFonts w:ascii="Goudy Old Style" w:hAnsi="Goudy Old Style"/>
        </w:rPr>
        <w:t>.</w:t>
      </w:r>
      <w:r w:rsidRPr="00422DDB">
        <w:rPr>
          <w:rFonts w:ascii="Goudy Old Style" w:hAnsi="Goudy Old Style"/>
          <w:vertAlign w:val="superscript"/>
        </w:rPr>
        <w:fldChar w:fldCharType="begin" w:fldLock="1"/>
      </w:r>
      <w:r w:rsidR="00503777" w:rsidRPr="00422DDB">
        <w:rPr>
          <w:rFonts w:ascii="Goudy Old Style" w:hAnsi="Goudy Old Style"/>
          <w:vertAlign w:val="superscript"/>
        </w:rPr>
        <w:instrText>ADDIN CSL_CITATION {"citationItems":[{"id":"ITEM-1","itemData":{"DOI":"10.2147/IJGM.S416235","ISSN":"11787074","abstract":"Purpose: The effect of antibiotics administered before blood cultures performed in general internal medicine outpatient settings is not well known. Patients and Methods: We conducted a retrospective case–control study including adult patients who underwent blood cultures in the general internal medicine outpatient department of a Japanese university hospital between 2016 and 2022. Patients with positive blood cultures were included as cases and matched patients with negative blood cultures were included as controls. Univariable and multivariable logistic regression analyses were performed. Results: A total of 200 patients and 200 controls were included. Antibiotics were administered prior to blood culture in 20% of patients (79/400). Oral antibiotics were prescribed to 69.6% of the prior antibiotics (55/79). Prior antibiotic use was significantly lower among patients with positive than negative blood cultures (13.5% vs 26.0%, p = 0.002) and was an independent predictive factor in univariable (odds ratio, 0.44; 95% confidence interval, 0.26–0.73; p = 0.002) and multivariable (adjusted odds ratio, 0.31; 95% confidence interval, 0.15–0.63; p = 0.002) logistic regression models for positive blood culture. The area under the receiver operating characteristic (AUROC) curve of the multivariable model for predicting positive blood cultures was 0.86. Conclusion: There was a negative correlation between prior antibiotic use and positive blood cultures in the general internal medicine outpatient department. Therefore, physicians should interpret the negative results of blood cultures performed after the administration of antibiotics with care.","author":[{"dropping-particle":"","family":"Hirosawa","given":"Takanobu","non-dropping-particle":"","parse-names":false,"suffix":""},{"dropping-particle":"","family":"Sakamoto","given":"Tetsu","non-dropping-particle":"","parse-names":false,"suffix":""},{"dropping-particle":"","family":"Hanai","given":"Shogo","non-dropping-particle":"","parse-names":false,"suffix":""},{"dropping-particle":"","family":"Harada","given":"Yukinori","non-dropping-particle":"","parse-names":false,"suffix":""},{"dropping-particle":"","family":"Shimizu","given":"Taro","non-dropping-particle":"","parse-names":false,"suffix":""}],"container-title":"International Journal of General Medicine","id":"ITEM-1","issue":"June","issued":{"date-parts":[["2023"]]},"page":"2709-2717","title":"Effect of Prior Antibiotic Treatment on Blood Culture in an Outpatient Department of General Internal Medicine: A Retrospective Case–Control Analysis","type":"article-journal","volume":"16"},"uris":["http://www.mendeley.com/documents/?uuid=4c0f914c-eccc-4eff-a163-993f7481f5ee"]}],"mendeley":{"formattedCitation":"(19)","plainTextFormattedCitation":"(19)","previouslyFormattedCitation":"(18)"},"properties":{"noteIndex":0},"schema":"https://github.com/citation-style-language/schema/raw/master/csl-citation.json"}</w:instrText>
      </w:r>
      <w:r w:rsidRPr="00422DDB">
        <w:rPr>
          <w:rFonts w:ascii="Goudy Old Style" w:hAnsi="Goudy Old Style"/>
          <w:vertAlign w:val="superscript"/>
        </w:rPr>
        <w:fldChar w:fldCharType="separate"/>
      </w:r>
      <w:r w:rsidR="00503777" w:rsidRPr="00422DDB">
        <w:rPr>
          <w:rFonts w:ascii="Goudy Old Style" w:hAnsi="Goudy Old Style"/>
          <w:noProof/>
          <w:vertAlign w:val="superscript"/>
        </w:rPr>
        <w:t>19</w:t>
      </w:r>
      <w:r w:rsidRPr="00422DDB">
        <w:rPr>
          <w:rFonts w:ascii="Goudy Old Style" w:hAnsi="Goudy Old Style"/>
          <w:vertAlign w:val="superscript"/>
        </w:rPr>
        <w:fldChar w:fldCharType="end"/>
      </w:r>
      <w:r w:rsidRPr="00422DDB">
        <w:rPr>
          <w:rFonts w:ascii="Goudy Old Style" w:hAnsi="Goudy Old Style"/>
        </w:rPr>
        <w:t xml:space="preserve"> </w:t>
      </w:r>
      <w:r w:rsidR="000B4127" w:rsidRPr="00422DDB">
        <w:rPr>
          <w:rFonts w:ascii="Goudy Old Style" w:hAnsi="Goudy Old Style"/>
        </w:rPr>
        <w:t xml:space="preserve">All positive blood </w:t>
      </w:r>
      <w:r w:rsidR="00CE07FD">
        <w:rPr>
          <w:rFonts w:ascii="Goudy Old Style" w:hAnsi="Goudy Old Style"/>
        </w:rPr>
        <w:t>culture</w:t>
      </w:r>
      <w:r w:rsidR="000B4127" w:rsidRPr="00422DDB">
        <w:rPr>
          <w:rFonts w:ascii="Goudy Old Style" w:hAnsi="Goudy Old Style"/>
        </w:rPr>
        <w:t xml:space="preserve"> cases in this study were monomicrobial. Gram-positive bacteria were mo</w:t>
      </w:r>
      <w:r w:rsidR="009D62D0" w:rsidRPr="00422DDB">
        <w:rPr>
          <w:rFonts w:ascii="Goudy Old Style" w:hAnsi="Goudy Old Style"/>
        </w:rPr>
        <w:t>st</w:t>
      </w:r>
      <w:r w:rsidR="000B4127" w:rsidRPr="00422DDB">
        <w:rPr>
          <w:rFonts w:ascii="Goudy Old Style" w:hAnsi="Goudy Old Style"/>
        </w:rPr>
        <w:t xml:space="preserve"> common than </w:t>
      </w:r>
      <w:r w:rsidR="009D62D0" w:rsidRPr="00422DDB">
        <w:rPr>
          <w:rFonts w:ascii="Goudy Old Style" w:hAnsi="Goudy Old Style"/>
        </w:rPr>
        <w:t>G</w:t>
      </w:r>
      <w:r w:rsidR="000B4127" w:rsidRPr="00422DDB">
        <w:rPr>
          <w:rFonts w:ascii="Goudy Old Style" w:hAnsi="Goudy Old Style"/>
        </w:rPr>
        <w:t>ram-negative bacteria in this study. This is consistent with other studies. Gram-positive organisms as causative agents of infection in sepsis cases are associated with invasive procedures in severely ill patients</w:t>
      </w:r>
      <w:r w:rsidR="0093545E" w:rsidRPr="00422DDB">
        <w:rPr>
          <w:rFonts w:ascii="Goudy Old Style" w:hAnsi="Goudy Old Style"/>
        </w:rPr>
        <w:t>.</w:t>
      </w:r>
      <w:r w:rsidR="000B4127" w:rsidRPr="00422DDB">
        <w:rPr>
          <w:rFonts w:ascii="Goudy Old Style" w:hAnsi="Goudy Old Style"/>
          <w:vertAlign w:val="superscript"/>
        </w:rPr>
        <w:fldChar w:fldCharType="begin" w:fldLock="1"/>
      </w:r>
      <w:r w:rsidR="00503777" w:rsidRPr="00422DDB">
        <w:rPr>
          <w:rFonts w:ascii="Goudy Old Style" w:hAnsi="Goudy Old Style"/>
          <w:vertAlign w:val="superscript"/>
        </w:rPr>
        <w:instrText>ADDIN CSL_CITATION {"citationItems":[{"id":"ITEM-1","itemData":{"author":[{"dropping-particle":"","family":"Kabi","given":"","non-dropping-particle":"","parse-names":false,"suffix":""}],"id":"ITEM-1","issued":{"date-parts":[["2020"]]},"title":"Clinical spectrum and risk factors for hospital</w:instrText>
      </w:r>
      <w:r w:rsidR="00503777" w:rsidRPr="00422DDB">
        <w:rPr>
          <w:vertAlign w:val="superscript"/>
        </w:rPr>
        <w:instrText>‑</w:instrText>
      </w:r>
      <w:r w:rsidR="00503777" w:rsidRPr="00422DDB">
        <w:rPr>
          <w:rFonts w:ascii="Goudy Old Style" w:hAnsi="Goudy Old Style"/>
          <w:vertAlign w:val="superscript"/>
        </w:rPr>
        <w:instrText>acquired.pdf","type":"article"},"uris":["http://www.mendeley.com/documents/?uuid=632df6e3-de65-42da-9ce4-f4e359bf94ac"]}],"mendeley":{"formattedCitation":"(16)","plainTextFormattedCitation":"(16)","previouslyFormattedCitation":"(15)"},"properties":{"noteIndex":0},"schema":"https://github.com/citation-style-language/schema/raw/master/csl-citation.json"}</w:instrText>
      </w:r>
      <w:r w:rsidR="000B4127" w:rsidRPr="00422DDB">
        <w:rPr>
          <w:rFonts w:ascii="Goudy Old Style" w:hAnsi="Goudy Old Style"/>
          <w:vertAlign w:val="superscript"/>
        </w:rPr>
        <w:fldChar w:fldCharType="separate"/>
      </w:r>
      <w:r w:rsidR="00503777" w:rsidRPr="00422DDB">
        <w:rPr>
          <w:rFonts w:ascii="Goudy Old Style" w:hAnsi="Goudy Old Style"/>
          <w:noProof/>
          <w:vertAlign w:val="superscript"/>
        </w:rPr>
        <w:t>16</w:t>
      </w:r>
      <w:r w:rsidR="000B4127" w:rsidRPr="00422DDB">
        <w:rPr>
          <w:rFonts w:ascii="Goudy Old Style" w:hAnsi="Goudy Old Style"/>
          <w:vertAlign w:val="superscript"/>
        </w:rPr>
        <w:fldChar w:fldCharType="end"/>
      </w:r>
      <w:r w:rsidRPr="00422DDB">
        <w:rPr>
          <w:rFonts w:ascii="Goudy Old Style" w:hAnsi="Goudy Old Style"/>
        </w:rPr>
        <w:t xml:space="preserve"> </w:t>
      </w:r>
    </w:p>
    <w:p w14:paraId="60C1E1DD" w14:textId="3C6A8DC0" w:rsidR="002A07A7" w:rsidRPr="00422DDB" w:rsidRDefault="002A07A7" w:rsidP="00422DDB">
      <w:pPr>
        <w:spacing w:line="276" w:lineRule="auto"/>
        <w:ind w:firstLine="567"/>
        <w:jc w:val="both"/>
        <w:rPr>
          <w:rFonts w:ascii="Goudy Old Style" w:hAnsi="Goudy Old Style"/>
        </w:rPr>
      </w:pPr>
      <w:r w:rsidRPr="00422DDB">
        <w:rPr>
          <w:rFonts w:ascii="Goudy Old Style" w:hAnsi="Goudy Old Style"/>
        </w:rPr>
        <w:t xml:space="preserve">Six sepsis patients admitted to the ICU with positive </w:t>
      </w:r>
      <w:r w:rsidR="00CE07FD">
        <w:rPr>
          <w:rFonts w:ascii="Goudy Old Style" w:hAnsi="Goudy Old Style"/>
        </w:rPr>
        <w:t>culture</w:t>
      </w:r>
      <w:r w:rsidRPr="00422DDB">
        <w:rPr>
          <w:rFonts w:ascii="Goudy Old Style" w:hAnsi="Goudy Old Style"/>
        </w:rPr>
        <w:t xml:space="preserve"> died during treatment. This is consistent with previous studies in which patients with positive </w:t>
      </w:r>
      <w:r w:rsidR="00CE07FD">
        <w:rPr>
          <w:rFonts w:ascii="Goudy Old Style" w:hAnsi="Goudy Old Style"/>
        </w:rPr>
        <w:t>culture</w:t>
      </w:r>
      <w:r w:rsidRPr="00422DDB">
        <w:rPr>
          <w:rFonts w:ascii="Goudy Old Style" w:hAnsi="Goudy Old Style"/>
        </w:rPr>
        <w:t xml:space="preserve"> results had a higher in-hospital mortality rate</w:t>
      </w:r>
      <w:r w:rsidR="0093545E" w:rsidRPr="00422DDB">
        <w:rPr>
          <w:rFonts w:ascii="Goudy Old Style" w:hAnsi="Goudy Old Style"/>
        </w:rPr>
        <w:t>.</w:t>
      </w:r>
      <w:r w:rsidRPr="00422DDB">
        <w:rPr>
          <w:rFonts w:ascii="Goudy Old Style" w:hAnsi="Goudy Old Style"/>
          <w:vertAlign w:val="superscript"/>
        </w:rPr>
        <w:fldChar w:fldCharType="begin" w:fldLock="1"/>
      </w:r>
      <w:r w:rsidR="00503777" w:rsidRPr="00422DDB">
        <w:rPr>
          <w:rFonts w:ascii="Goudy Old Style" w:hAnsi="Goudy Old Style"/>
          <w:vertAlign w:val="superscript"/>
        </w:rPr>
        <w:instrText>ADDIN CSL_CITATION {"citationItems":[{"id":"ITEM-1","itemData":{"DOI":"10.2147/IDR.S334161","ISSN":"11786973","abstract":"Background: Few studies have studied the relationship between blood culture and mortality in sepsis patients. The aim of this study was to compare the characteristics and outcomes of positive and negative blood culture sepsis. Methods: We performed a study on 640 patients suffering from sepsis in Beijing Chao-Yang Hospital from October 2017 to December 2019. The primary findings revolved around length and expenditure of hospital stay, the possibility of suffering from acute respiratory distress syndrome (ARDS), and any requirements for mechanical ventilation. The secondary findings revolved around whether the patient died early (28-day) or late (28-to-90-day). Results: A total of 592 of the 640 patients met the inclusion criteria for sepsis, with 274 of them having culture-positive results. The culture-positive patients were mostly elderly suffering from diabetes and at risk of cancer, with a higher white blood cell count, and higher procalcitonin. Additionally, they scored higher in their acute physiology and chronic health evaluation II score (15 vs.11, P=0.010), as well as in their predisposition, infection, response, and organ dysfunction (17 vs 11, P&lt;0.001) than the individuals in the culture-negative group. Culture-positive patients had a longer duration of hospital stay (14 vs 6, P&lt;0.001) and higher in-hospital mortality (14.6% vs 8.5%, P=0.019) than culture-negative ones. No significant difference in intensive care unit (ICU) mortality (45.7% vs.36.4%, P=0.254) or early mortality (9.5% vs 7.2%, P=0.321) was noted between the two groups. However, the culture-positive patients had increased late mortality (15.7% vs.6.9%, P=0.001), when compared with those with culture-negative results in the cohort. Furthermore, the culture-positive patients who received the appropriate antibiotics early had a lower mortality rate than the culture-negative patients (7.3% vs.14.2%, P=0.008). Conclusion: Culture-positive patients had higher in-hospital mortality, comparable early mortality, and worse late mortality than the culture-negative patients. Early appropriate use of antibiotics might reduce mortality and improve clinical prognosis.","author":[{"dropping-particle":"","family":"Yang","given":"Long","non-dropping-particle":"","parse-names":false,"suffix":""},{"dropping-particle":"","family":"Lin","given":"Yue","non-dropping-particle":"","parse-names":false,"suffix":""},{"dropping-particle":"","family":"Wang","given":"Junyu","non-dropping-particle":"","parse-names":false,"suffix":""},{"dropping-particle":"","family":"Song","given":"Jianmei","non-dropping-particle":"","parse-names":false,"suffix":""},{"dropping-particle":"","family":"Wei","given":"Bing","non-dropping-particle":"","parse-names":false,"suffix":""},{"dropping-particle":"","family":"Zhang","given":"Xiangqun","non-dropping-particle":"","parse-names":false,"suffix":""},{"dropping-particle":"","family":"Yang","given":"Jun","non-dropping-particle":"","parse-names":false,"suffix":""},{"dropping-particle":"","family":"Liu","given":"Bo","non-dropping-particle":"","parse-names":false,"suffix":""}],"container-title":"Infection and Drug Resistance","id":"ITEM-1","issue":"October","issued":{"date-parts":[["2021"]]},"page":"4191-4205","title":"Comparison of clinical characteristics and outcomes between positive and negative blood culture septic patients: A retrospective cohort study","type":"article-journal","volume":"14"},"uris":["http://www.mendeley.com/documents/?uuid=65d10a3d-c0a0-419e-a961-349efa7bd42a"]}],"mendeley":{"formattedCitation":"(20)","plainTextFormattedCitation":"(20)","previouslyFormattedCitation":"(19)"},"properties":{"noteIndex":0},"schema":"https://github.com/citation-style-language/schema/raw/master/csl-citation.json"}</w:instrText>
      </w:r>
      <w:r w:rsidRPr="00422DDB">
        <w:rPr>
          <w:rFonts w:ascii="Goudy Old Style" w:hAnsi="Goudy Old Style"/>
          <w:vertAlign w:val="superscript"/>
        </w:rPr>
        <w:fldChar w:fldCharType="separate"/>
      </w:r>
      <w:r w:rsidR="00503777" w:rsidRPr="00422DDB">
        <w:rPr>
          <w:rFonts w:ascii="Goudy Old Style" w:hAnsi="Goudy Old Style"/>
          <w:noProof/>
          <w:vertAlign w:val="superscript"/>
        </w:rPr>
        <w:t>20</w:t>
      </w:r>
      <w:r w:rsidRPr="00422DDB">
        <w:rPr>
          <w:rFonts w:ascii="Goudy Old Style" w:hAnsi="Goudy Old Style"/>
          <w:vertAlign w:val="superscript"/>
        </w:rPr>
        <w:fldChar w:fldCharType="end"/>
      </w:r>
      <w:r w:rsidR="00AD72F1" w:rsidRPr="00422DDB">
        <w:rPr>
          <w:rFonts w:ascii="Goudy Old Style" w:hAnsi="Goudy Old Style"/>
        </w:rPr>
        <w:t xml:space="preserve"> Selection of appropriate </w:t>
      </w:r>
      <w:r w:rsidR="00CE07FD">
        <w:rPr>
          <w:rFonts w:ascii="Goudy Old Style" w:hAnsi="Goudy Old Style"/>
        </w:rPr>
        <w:t>culture</w:t>
      </w:r>
      <w:r w:rsidR="00AD72F1" w:rsidRPr="00422DDB">
        <w:rPr>
          <w:rFonts w:ascii="Goudy Old Style" w:hAnsi="Goudy Old Style"/>
        </w:rPr>
        <w:t xml:space="preserve"> from the focus of infection prior to antibiotic administration, respiratory </w:t>
      </w:r>
      <w:r w:rsidR="00CE07FD">
        <w:rPr>
          <w:rFonts w:ascii="Goudy Old Style" w:hAnsi="Goudy Old Style"/>
        </w:rPr>
        <w:t>culture</w:t>
      </w:r>
      <w:r w:rsidR="00AD72F1" w:rsidRPr="00422DDB">
        <w:rPr>
          <w:rFonts w:ascii="Goudy Old Style" w:hAnsi="Goudy Old Style"/>
        </w:rPr>
        <w:t xml:space="preserve"> where appropriate,</w:t>
      </w:r>
      <w:r w:rsidR="00551AA8" w:rsidRPr="00422DDB">
        <w:rPr>
          <w:rFonts w:ascii="Goudy Old Style" w:hAnsi="Goudy Old Style"/>
        </w:rPr>
        <w:t xml:space="preserve"> </w:t>
      </w:r>
      <w:r w:rsidR="00AD72F1" w:rsidRPr="00422DDB">
        <w:rPr>
          <w:rFonts w:ascii="Goudy Old Style" w:hAnsi="Goudy Old Style"/>
        </w:rPr>
        <w:t xml:space="preserve">MRSA </w:t>
      </w:r>
      <w:r w:rsidR="00551AA8" w:rsidRPr="00422DDB">
        <w:rPr>
          <w:rFonts w:ascii="Goudy Old Style" w:hAnsi="Goudy Old Style"/>
        </w:rPr>
        <w:t xml:space="preserve">(Methicillin-Resistant </w:t>
      </w:r>
      <w:r w:rsidR="00551AA8" w:rsidRPr="00422DDB">
        <w:rPr>
          <w:rFonts w:ascii="Goudy Old Style" w:hAnsi="Goudy Old Style"/>
          <w:i/>
          <w:iCs/>
        </w:rPr>
        <w:t>Staphylococcus aureus</w:t>
      </w:r>
      <w:r w:rsidR="00551AA8" w:rsidRPr="00422DDB">
        <w:rPr>
          <w:rFonts w:ascii="Goudy Old Style" w:hAnsi="Goudy Old Style"/>
        </w:rPr>
        <w:t xml:space="preserve">) </w:t>
      </w:r>
      <w:r w:rsidR="00AD72F1" w:rsidRPr="00422DDB">
        <w:rPr>
          <w:rFonts w:ascii="Goudy Old Style" w:hAnsi="Goudy Old Style"/>
        </w:rPr>
        <w:t>swabs, ASP</w:t>
      </w:r>
      <w:r w:rsidR="00551AA8" w:rsidRPr="00422DDB">
        <w:rPr>
          <w:rFonts w:ascii="Goudy Old Style" w:hAnsi="Goudy Old Style"/>
        </w:rPr>
        <w:t xml:space="preserve"> (Antibiotic Stewardship program)</w:t>
      </w:r>
      <w:r w:rsidR="00AD72F1" w:rsidRPr="00422DDB">
        <w:rPr>
          <w:rFonts w:ascii="Goudy Old Style" w:hAnsi="Goudy Old Style"/>
        </w:rPr>
        <w:t>, and rapid diagnostic testing can help reduce antibiotic administration and more quickly choose the right antimicrobial</w:t>
      </w:r>
      <w:r w:rsidR="0093545E" w:rsidRPr="00422DDB">
        <w:rPr>
          <w:rFonts w:ascii="Goudy Old Style" w:hAnsi="Goudy Old Style"/>
        </w:rPr>
        <w:t>.</w:t>
      </w:r>
      <w:r w:rsidR="00AD72F1" w:rsidRPr="00422DDB">
        <w:rPr>
          <w:rFonts w:ascii="Goudy Old Style" w:hAnsi="Goudy Old Style"/>
          <w:vertAlign w:val="superscript"/>
        </w:rPr>
        <w:fldChar w:fldCharType="begin" w:fldLock="1"/>
      </w:r>
      <w:r w:rsidR="00503777" w:rsidRPr="00422DDB">
        <w:rPr>
          <w:rFonts w:ascii="Goudy Old Style" w:hAnsi="Goudy Old Style"/>
          <w:vertAlign w:val="superscript"/>
        </w:rPr>
        <w:instrText>ADDIN CSL_CITATION {"citationItems":[{"id":"ITEM-1","itemData":{"DOI":"10.1097/MCC.0000000000000751","ISBN":"0000000000000","ISSN":"15317072","PMID":"32773615","abstract":"Purpose of review The traditional approach to sepsis treatment utilizes broad-spectrum antibiotics. Unfortunately, a significant proportion of infected patients have 'culture-negative' sepsis despite appropriate microbiologic assessment. Recent findings There has been increased interest in the past decade on the treatment of culture-negative sepsis. Outcome data comparing culture-negative sepsis with culture-positive sepsis are mixed and it is unclear if culturenegative sepsis is a distinct entity. Recent recommendations promoting antibiotic de-escalation in culturenegative sepsis can be difficult to implement. A variety of strategies have been suggested for limiting antibiotic courses among patients with negative cultures, including limiting antibiotic durations, use of antibiotic stewardship programs, early consideration of narrow antibiotics, rapid diagnostic technology, and eliminating anti-MRSA therapy based on surveillance swabs. Summary Owing to the difficulty inherent in studying the lack of positive data, and to the uncertainty surrounding diagnosis in patients with culture-negative sepsis, prospective data to guide antibiotic choices are lacking. However, antibiotic de-escalation in culture-negative sepsis is both recommended and feasible in patients showing clinical signs of improvement. Increased use of rapid diagnostics, careful consideration of antibiotic necessity, and antibiotic stewardship programs may result in less antibiotic days and better outcomes.","author":[{"dropping-particle":"","family":"Thorndike","given":"Jonathan","non-dropping-particle":"","parse-names":false,"suffix":""},{"dropping-particle":"","family":"Kollef","given":"Marin H.","non-dropping-particle":"","parse-names":false,"suffix":""}],"container-title":"Current Opinion in Critical Care","id":"ITEM-1","issue":"5","issued":{"date-parts":[["2020"]]},"page":"473-477","title":"Culture-negative sepsis","type":"article-journal","volume":"26"},"uris":["http://www.mendeley.com/documents/?uuid=72c01f24-5dae-4102-b196-94fcc4b35e9b"]}],"mendeley":{"formattedCitation":"(18)","plainTextFormattedCitation":"(18)","previouslyFormattedCitation":"(17)"},"properties":{"noteIndex":0},"schema":"https://github.com/citation-style-language/schema/raw/master/csl-citation.json"}</w:instrText>
      </w:r>
      <w:r w:rsidR="00AD72F1" w:rsidRPr="00422DDB">
        <w:rPr>
          <w:rFonts w:ascii="Goudy Old Style" w:hAnsi="Goudy Old Style"/>
          <w:vertAlign w:val="superscript"/>
        </w:rPr>
        <w:fldChar w:fldCharType="separate"/>
      </w:r>
      <w:r w:rsidR="00503777" w:rsidRPr="00422DDB">
        <w:rPr>
          <w:rFonts w:ascii="Goudy Old Style" w:hAnsi="Goudy Old Style"/>
          <w:noProof/>
          <w:vertAlign w:val="superscript"/>
        </w:rPr>
        <w:t>18</w:t>
      </w:r>
      <w:r w:rsidR="00AD72F1" w:rsidRPr="00422DDB">
        <w:rPr>
          <w:rFonts w:ascii="Goudy Old Style" w:hAnsi="Goudy Old Style"/>
          <w:vertAlign w:val="superscript"/>
        </w:rPr>
        <w:fldChar w:fldCharType="end"/>
      </w:r>
      <w:r w:rsidR="00E54451" w:rsidRPr="00422DDB">
        <w:rPr>
          <w:rFonts w:ascii="Goudy Old Style" w:hAnsi="Goudy Old Style"/>
        </w:rPr>
        <w:t xml:space="preserve"> Antibiotic therapy, even for multiple doses, can lead to unnecessary costs, substantial toxicity, clinically important changes in microbial flora, and increased drug resistance. Hospital policy in developing rapid identification of sepsis patients for treatment consideration using antimicrobial regimens broad enough to cover all infection-causing pathogens</w:t>
      </w:r>
      <w:r w:rsidR="0093545E" w:rsidRPr="00422DDB">
        <w:rPr>
          <w:rFonts w:ascii="Goudy Old Style" w:hAnsi="Goudy Old Style"/>
        </w:rPr>
        <w:t>.</w:t>
      </w:r>
      <w:r w:rsidR="001137C4" w:rsidRPr="00422DDB">
        <w:rPr>
          <w:rFonts w:ascii="Goudy Old Style" w:hAnsi="Goudy Old Style"/>
          <w:vertAlign w:val="superscript"/>
        </w:rPr>
        <w:fldChar w:fldCharType="begin" w:fldLock="1"/>
      </w:r>
      <w:r w:rsidR="00503777" w:rsidRPr="00422DDB">
        <w:rPr>
          <w:rFonts w:ascii="Goudy Old Style" w:hAnsi="Goudy Old Style"/>
          <w:vertAlign w:val="superscript"/>
        </w:rPr>
        <w:instrText>ADDIN CSL_CITATION {"citationItems":[{"id":"ITEM-1","itemData":{"DOI":"10.1093/INFDIS/JIAA221","ISSN":"15376613","PMID":"32691833","abstract":"Patients with sepsis present across a spectrum of infection sites and severity of illnesses requiring complex decision making at the bedside as to when prompt antibiotics are indicated and which regimen is warranted. Many hemodynamically stable patients with sepsis and low acuity of illness may benefit from further work up before initiating therapy, whereas patients with septic shock warrant emergent broad-spectrum antibiotics. The precise empiric regimen is determined by assessing patient and epidemiological risk factors, likely source of infection based on presenting signs and symptoms, and severity of illness. Hospitals should implement quality improvement measures to aid in the rapid and accurate diagnosis of septic patients and to ensure antibiotics are given to patients in an expedited fashion after antibiotic order.","author":[{"dropping-particle":"","family":"Strich","given":"Jeffrey R.","non-dropping-particle":"","parse-names":false,"suffix":""},{"dropping-particle":"","family":"Heil","given":"Emily L.","non-dropping-particle":"","parse-names":false,"suffix":""},{"dropping-particle":"","family":"Masur","given":"Henry","non-dropping-particle":"","parse-names":false,"suffix":""}],"container-title":"Journal of Infectious Diseases","id":"ITEM-1","issue":"Suppl 2","issued":{"date-parts":[["2021"]]},"page":"S119-S131","title":"Considerations for empiric antimicrobial therapy in sepsis and septic shock in an era of antimicrobial resistance","type":"article-journal","volume":"222"},"uris":["http://www.mendeley.com/documents/?uuid=297084a7-26ba-4bb6-8bf9-ecc65f56cbaa"]}],"mendeley":{"formattedCitation":"(21)","plainTextFormattedCitation":"(21)","previouslyFormattedCitation":"(20)"},"properties":{"noteIndex":0},"schema":"https://github.com/citation-style-language/schema/raw/master/csl-citation.json"}</w:instrText>
      </w:r>
      <w:r w:rsidR="001137C4" w:rsidRPr="00422DDB">
        <w:rPr>
          <w:rFonts w:ascii="Goudy Old Style" w:hAnsi="Goudy Old Style"/>
          <w:vertAlign w:val="superscript"/>
        </w:rPr>
        <w:fldChar w:fldCharType="separate"/>
      </w:r>
      <w:r w:rsidR="00503777" w:rsidRPr="00422DDB">
        <w:rPr>
          <w:rFonts w:ascii="Goudy Old Style" w:hAnsi="Goudy Old Style"/>
          <w:noProof/>
          <w:vertAlign w:val="superscript"/>
        </w:rPr>
        <w:t>21</w:t>
      </w:r>
      <w:r w:rsidR="001137C4" w:rsidRPr="00422DDB">
        <w:rPr>
          <w:rFonts w:ascii="Goudy Old Style" w:hAnsi="Goudy Old Style"/>
          <w:vertAlign w:val="superscript"/>
        </w:rPr>
        <w:fldChar w:fldCharType="end"/>
      </w:r>
      <w:r w:rsidR="00E54451" w:rsidRPr="00422DDB">
        <w:rPr>
          <w:rFonts w:ascii="Goudy Old Style" w:hAnsi="Goudy Old Style"/>
        </w:rPr>
        <w:t xml:space="preserve"> </w:t>
      </w:r>
    </w:p>
    <w:p w14:paraId="346470AC" w14:textId="25F587A5" w:rsidR="001F2AA7" w:rsidRPr="00422DDB" w:rsidRDefault="001F2AA7" w:rsidP="00CC6CCC">
      <w:pPr>
        <w:spacing w:line="276" w:lineRule="auto"/>
        <w:ind w:firstLine="567"/>
        <w:jc w:val="both"/>
        <w:rPr>
          <w:rFonts w:ascii="Goudy Old Style" w:hAnsi="Goudy Old Style"/>
        </w:rPr>
      </w:pPr>
      <w:r w:rsidRPr="00422DDB">
        <w:rPr>
          <w:rFonts w:ascii="Goudy Old Style" w:hAnsi="Goudy Old Style"/>
        </w:rPr>
        <w:t>The limitations of this study are that in some patients, it was difficult to draw blood with the appropriate amount of blood volume, not during the febrile phase, and patients had received antibiotic therapy before.</w:t>
      </w:r>
      <w:r w:rsidR="00AD72F1" w:rsidRPr="00422DDB">
        <w:rPr>
          <w:rFonts w:ascii="Goudy Old Style" w:hAnsi="Goudy Old Style"/>
        </w:rPr>
        <w:t xml:space="preserve"> This study was limited to single-hospital, so it cannot be generalized. Infection control programs in hospitals should continue to be implemented to reduce the risk of infection, control the inappropriate use of antimicrobials, and prevent increasing resistance.</w:t>
      </w:r>
    </w:p>
    <w:p w14:paraId="30048AF7" w14:textId="77777777" w:rsidR="00422DDB" w:rsidRPr="00422DDB" w:rsidRDefault="00F34B93" w:rsidP="00422DDB">
      <w:pPr>
        <w:spacing w:before="120" w:after="120" w:line="276" w:lineRule="auto"/>
        <w:jc w:val="both"/>
        <w:rPr>
          <w:rFonts w:ascii="Goudy Old Style" w:hAnsi="Goudy Old Style"/>
        </w:rPr>
      </w:pPr>
      <w:r w:rsidRPr="00422DDB">
        <w:rPr>
          <w:rFonts w:ascii="Goudy Old Style" w:hAnsi="Goudy Old Style"/>
          <w:b/>
          <w:bCs/>
        </w:rPr>
        <w:t>Conclusion</w:t>
      </w:r>
    </w:p>
    <w:p w14:paraId="731FCC9E" w14:textId="1307141B" w:rsidR="001137C4" w:rsidRPr="00422DDB" w:rsidRDefault="001A4FE4" w:rsidP="0004060E">
      <w:pPr>
        <w:spacing w:line="276" w:lineRule="auto"/>
        <w:ind w:firstLine="567"/>
        <w:jc w:val="both"/>
        <w:rPr>
          <w:rFonts w:ascii="Goudy Old Style" w:hAnsi="Goudy Old Style"/>
        </w:rPr>
      </w:pPr>
      <w:r w:rsidRPr="00422DDB">
        <w:rPr>
          <w:rFonts w:ascii="Goudy Old Style" w:hAnsi="Goudy Old Style"/>
        </w:rPr>
        <w:t xml:space="preserve">Administration of empirical therapy prior to blood </w:t>
      </w:r>
      <w:r w:rsidR="00CE07FD">
        <w:rPr>
          <w:rFonts w:ascii="Goudy Old Style" w:hAnsi="Goudy Old Style"/>
        </w:rPr>
        <w:t>culture</w:t>
      </w:r>
      <w:r w:rsidRPr="00422DDB">
        <w:rPr>
          <w:rFonts w:ascii="Goudy Old Style" w:hAnsi="Goudy Old Style"/>
        </w:rPr>
        <w:t xml:space="preserve"> collection may decrease the sensitivity of </w:t>
      </w:r>
      <w:r w:rsidR="00CE07FD">
        <w:rPr>
          <w:rFonts w:ascii="Goudy Old Style" w:hAnsi="Goudy Old Style"/>
        </w:rPr>
        <w:t>culture</w:t>
      </w:r>
      <w:r w:rsidRPr="00422DDB">
        <w:rPr>
          <w:rFonts w:ascii="Goudy Old Style" w:hAnsi="Goudy Old Style"/>
        </w:rPr>
        <w:t xml:space="preserve"> results. </w:t>
      </w:r>
      <w:r w:rsidR="00AD72F1" w:rsidRPr="00422DDB">
        <w:rPr>
          <w:rFonts w:ascii="Goudy Old Style" w:hAnsi="Goudy Old Style"/>
        </w:rPr>
        <w:t xml:space="preserve">Consideration should be given to </w:t>
      </w:r>
      <w:r w:rsidR="00CE07FD">
        <w:rPr>
          <w:rFonts w:ascii="Goudy Old Style" w:hAnsi="Goudy Old Style"/>
        </w:rPr>
        <w:t>culture</w:t>
      </w:r>
      <w:r w:rsidR="00AD72F1" w:rsidRPr="00422DDB">
        <w:rPr>
          <w:rFonts w:ascii="Goudy Old Style" w:hAnsi="Goudy Old Style"/>
        </w:rPr>
        <w:t xml:space="preserve"> of the focus of infection to assist in the consideration of antimicrobial treatment. </w:t>
      </w:r>
      <w:r w:rsidR="00E54451" w:rsidRPr="00422DDB">
        <w:rPr>
          <w:rFonts w:ascii="Goudy Old Style" w:hAnsi="Goudy Old Style"/>
        </w:rPr>
        <w:t xml:space="preserve">Care interventions and the use of medical devices in treated patients, especially those receiving surgery, need to be carried out to reduce the incidence of sepsis in patients in the ICU.  </w:t>
      </w:r>
    </w:p>
    <w:p w14:paraId="1ED87095" w14:textId="77777777" w:rsidR="00A77C83" w:rsidRDefault="00A77C83" w:rsidP="00C45AF7">
      <w:pPr>
        <w:spacing w:before="120" w:after="120" w:line="276" w:lineRule="auto"/>
        <w:jc w:val="both"/>
        <w:rPr>
          <w:rFonts w:ascii="Goudy Old Style" w:hAnsi="Goudy Old Style"/>
          <w:b/>
          <w:bCs/>
        </w:rPr>
      </w:pPr>
    </w:p>
    <w:p w14:paraId="28D4A15A" w14:textId="242E49F8" w:rsidR="00C8445C" w:rsidRPr="00C45AF7" w:rsidRDefault="00F25B77" w:rsidP="00C45AF7">
      <w:pPr>
        <w:spacing w:before="120" w:after="120" w:line="276" w:lineRule="auto"/>
        <w:jc w:val="both"/>
        <w:rPr>
          <w:rFonts w:ascii="Goudy Old Style" w:hAnsi="Goudy Old Style"/>
          <w:b/>
          <w:bCs/>
        </w:rPr>
      </w:pPr>
      <w:r w:rsidRPr="00422DDB">
        <w:rPr>
          <w:rFonts w:ascii="Goudy Old Style" w:hAnsi="Goudy Old Style"/>
          <w:b/>
          <w:bCs/>
        </w:rPr>
        <w:lastRenderedPageBreak/>
        <w:t>References</w:t>
      </w:r>
    </w:p>
    <w:p w14:paraId="5ACE6985" w14:textId="7B17EEC5" w:rsidR="00503777" w:rsidRPr="0004060E" w:rsidRDefault="008C04A8" w:rsidP="00DE345A">
      <w:pPr>
        <w:widowControl w:val="0"/>
        <w:autoSpaceDE w:val="0"/>
        <w:autoSpaceDN w:val="0"/>
        <w:adjustRightInd w:val="0"/>
        <w:spacing w:before="120" w:after="120"/>
        <w:ind w:left="709" w:hanging="425"/>
        <w:jc w:val="both"/>
        <w:rPr>
          <w:rFonts w:ascii="Goudy Old Style" w:hAnsi="Goudy Old Style"/>
          <w:noProof/>
        </w:rPr>
      </w:pPr>
      <w:r w:rsidRPr="00DE345A">
        <w:rPr>
          <w:rFonts w:ascii="Goudy Old Style" w:hAnsi="Goudy Old Style"/>
          <w:b/>
          <w:bCs/>
        </w:rPr>
        <w:fldChar w:fldCharType="begin" w:fldLock="1"/>
      </w:r>
      <w:r w:rsidRPr="00DE345A">
        <w:rPr>
          <w:rFonts w:ascii="Goudy Old Style" w:hAnsi="Goudy Old Style"/>
          <w:b/>
          <w:bCs/>
        </w:rPr>
        <w:instrText xml:space="preserve">ADDIN Mendeley Bibliography CSL_BIBLIOGRAPHY </w:instrText>
      </w:r>
      <w:r w:rsidRPr="00DE345A">
        <w:rPr>
          <w:rFonts w:ascii="Goudy Old Style" w:hAnsi="Goudy Old Style"/>
          <w:b/>
          <w:bCs/>
        </w:rPr>
        <w:fldChar w:fldCharType="separate"/>
      </w:r>
      <w:r w:rsidR="00503777" w:rsidRPr="0004060E">
        <w:rPr>
          <w:rFonts w:ascii="Goudy Old Style" w:hAnsi="Goudy Old Style"/>
          <w:noProof/>
        </w:rPr>
        <w:t xml:space="preserve">1. </w:t>
      </w:r>
      <w:r w:rsidR="00503777" w:rsidRPr="0004060E">
        <w:rPr>
          <w:rFonts w:ascii="Goudy Old Style" w:hAnsi="Goudy Old Style"/>
          <w:noProof/>
        </w:rPr>
        <w:tab/>
        <w:t xml:space="preserve">Cheng MP, Stenstrom R, Paquette K, Stabler SN, Akhter M, Davidson AC, et al. Blood </w:t>
      </w:r>
      <w:r w:rsidR="00CE07FD">
        <w:rPr>
          <w:rFonts w:ascii="Goudy Old Style" w:hAnsi="Goudy Old Style"/>
          <w:noProof/>
        </w:rPr>
        <w:t>Culture</w:t>
      </w:r>
      <w:r w:rsidR="00503777" w:rsidRPr="0004060E">
        <w:rPr>
          <w:rFonts w:ascii="Goudy Old Style" w:hAnsi="Goudy Old Style"/>
          <w:noProof/>
        </w:rPr>
        <w:t xml:space="preserve"> Results Before and After Antimicrobial Administration in Patients With Severe Manifestations of Sepsis: A Diagnostic Study. </w:t>
      </w:r>
      <w:r w:rsidR="00503777" w:rsidRPr="00653AEA">
        <w:rPr>
          <w:rFonts w:ascii="Goudy Old Style" w:hAnsi="Goudy Old Style"/>
          <w:i/>
          <w:noProof/>
        </w:rPr>
        <w:t>Ann</w:t>
      </w:r>
      <w:r w:rsidR="00653AEA" w:rsidRPr="00653AEA">
        <w:rPr>
          <w:rFonts w:ascii="Goudy Old Style" w:hAnsi="Goudy Old Style"/>
          <w:i/>
          <w:noProof/>
          <w:lang w:val="id-ID"/>
        </w:rPr>
        <w:t xml:space="preserve">als of </w:t>
      </w:r>
      <w:r w:rsidR="00503777" w:rsidRPr="00653AEA">
        <w:rPr>
          <w:rFonts w:ascii="Goudy Old Style" w:hAnsi="Goudy Old Style"/>
          <w:i/>
          <w:noProof/>
        </w:rPr>
        <w:t>Intern</w:t>
      </w:r>
      <w:r w:rsidR="00653AEA" w:rsidRPr="00653AEA">
        <w:rPr>
          <w:rFonts w:ascii="Goudy Old Style" w:hAnsi="Goudy Old Style"/>
          <w:i/>
          <w:noProof/>
          <w:lang w:val="id-ID"/>
        </w:rPr>
        <w:t>al</w:t>
      </w:r>
      <w:r w:rsidR="00503777" w:rsidRPr="00653AEA">
        <w:rPr>
          <w:rFonts w:ascii="Goudy Old Style" w:hAnsi="Goudy Old Style"/>
          <w:i/>
          <w:noProof/>
        </w:rPr>
        <w:t xml:space="preserve"> Med</w:t>
      </w:r>
      <w:r w:rsidR="00653AEA" w:rsidRPr="00653AEA">
        <w:rPr>
          <w:rFonts w:ascii="Goudy Old Style" w:hAnsi="Goudy Old Style"/>
          <w:i/>
          <w:noProof/>
          <w:lang w:val="id-ID"/>
        </w:rPr>
        <w:t>icine</w:t>
      </w:r>
      <w:r w:rsidR="00503777" w:rsidRPr="0004060E">
        <w:rPr>
          <w:rFonts w:ascii="Goudy Old Style" w:hAnsi="Goudy Old Style"/>
          <w:noProof/>
        </w:rPr>
        <w:t xml:space="preserve">. 2019;171(8):547–54. </w:t>
      </w:r>
    </w:p>
    <w:p w14:paraId="3BB2F0AD" w14:textId="0F7EDEA3" w:rsidR="00503777" w:rsidRPr="0004060E" w:rsidRDefault="00503777" w:rsidP="00DE345A">
      <w:pPr>
        <w:widowControl w:val="0"/>
        <w:autoSpaceDE w:val="0"/>
        <w:autoSpaceDN w:val="0"/>
        <w:adjustRightInd w:val="0"/>
        <w:spacing w:before="120" w:after="120"/>
        <w:ind w:left="709" w:hanging="425"/>
        <w:jc w:val="both"/>
        <w:rPr>
          <w:rFonts w:ascii="Goudy Old Style" w:hAnsi="Goudy Old Style"/>
          <w:noProof/>
        </w:rPr>
      </w:pPr>
      <w:r w:rsidRPr="0004060E">
        <w:rPr>
          <w:rFonts w:ascii="Goudy Old Style" w:hAnsi="Goudy Old Style"/>
          <w:noProof/>
        </w:rPr>
        <w:t xml:space="preserve">2. </w:t>
      </w:r>
      <w:r w:rsidRPr="0004060E">
        <w:rPr>
          <w:rFonts w:ascii="Goudy Old Style" w:hAnsi="Goudy Old Style"/>
          <w:noProof/>
        </w:rPr>
        <w:tab/>
        <w:t xml:space="preserve">Robert Gauer, Damon Forbes, Nathan Boyer. Sepsis: Diagnosis and Management. </w:t>
      </w:r>
      <w:r w:rsidRPr="005D6B69">
        <w:rPr>
          <w:rFonts w:ascii="Goudy Old Style" w:hAnsi="Goudy Old Style"/>
          <w:i/>
          <w:noProof/>
        </w:rPr>
        <w:t>Am</w:t>
      </w:r>
      <w:r w:rsidR="005D6B69" w:rsidRPr="005D6B69">
        <w:rPr>
          <w:rFonts w:ascii="Goudy Old Style" w:hAnsi="Goudy Old Style"/>
          <w:i/>
          <w:noProof/>
          <w:lang w:val="id-ID"/>
        </w:rPr>
        <w:t xml:space="preserve">erican </w:t>
      </w:r>
      <w:r w:rsidRPr="005D6B69">
        <w:rPr>
          <w:rFonts w:ascii="Goudy Old Style" w:hAnsi="Goudy Old Style"/>
          <w:i/>
          <w:noProof/>
        </w:rPr>
        <w:t>Fam</w:t>
      </w:r>
      <w:r w:rsidR="005D6B69" w:rsidRPr="005D6B69">
        <w:rPr>
          <w:rFonts w:ascii="Goudy Old Style" w:hAnsi="Goudy Old Style"/>
          <w:i/>
          <w:noProof/>
          <w:lang w:val="id-ID"/>
        </w:rPr>
        <w:t xml:space="preserve">ily </w:t>
      </w:r>
      <w:r w:rsidRPr="005D6B69">
        <w:rPr>
          <w:rFonts w:ascii="Goudy Old Style" w:hAnsi="Goudy Old Style"/>
          <w:i/>
          <w:noProof/>
        </w:rPr>
        <w:t>Physician</w:t>
      </w:r>
      <w:r w:rsidRPr="0004060E">
        <w:rPr>
          <w:rFonts w:ascii="Goudy Old Style" w:hAnsi="Goudy Old Style"/>
          <w:noProof/>
        </w:rPr>
        <w:t xml:space="preserve">. 2020;101(7):409–18. </w:t>
      </w:r>
    </w:p>
    <w:p w14:paraId="5AC80320" w14:textId="2471FF59" w:rsidR="00503777" w:rsidRPr="0004060E" w:rsidRDefault="00503777" w:rsidP="00DE345A">
      <w:pPr>
        <w:widowControl w:val="0"/>
        <w:autoSpaceDE w:val="0"/>
        <w:autoSpaceDN w:val="0"/>
        <w:adjustRightInd w:val="0"/>
        <w:spacing w:before="120" w:after="120"/>
        <w:ind w:left="709" w:hanging="425"/>
        <w:jc w:val="both"/>
        <w:rPr>
          <w:rFonts w:ascii="Goudy Old Style" w:hAnsi="Goudy Old Style"/>
          <w:noProof/>
        </w:rPr>
      </w:pPr>
      <w:r w:rsidRPr="0004060E">
        <w:rPr>
          <w:rFonts w:ascii="Goudy Old Style" w:hAnsi="Goudy Old Style"/>
          <w:noProof/>
        </w:rPr>
        <w:t xml:space="preserve">3. </w:t>
      </w:r>
      <w:r w:rsidRPr="0004060E">
        <w:rPr>
          <w:rFonts w:ascii="Goudy Old Style" w:hAnsi="Goudy Old Style"/>
          <w:noProof/>
        </w:rPr>
        <w:tab/>
        <w:t xml:space="preserve">Sweeney TE, Liesenfeld O, May L. Diagnosis of bacterial sepsis: why are tests for bacteremia not sufficient? </w:t>
      </w:r>
      <w:r w:rsidRPr="00681748">
        <w:rPr>
          <w:rFonts w:ascii="Goudy Old Style" w:hAnsi="Goudy Old Style"/>
          <w:i/>
          <w:noProof/>
        </w:rPr>
        <w:t>Expert Rev</w:t>
      </w:r>
      <w:r w:rsidR="00681748" w:rsidRPr="00681748">
        <w:rPr>
          <w:rFonts w:ascii="Goudy Old Style" w:hAnsi="Goudy Old Style"/>
          <w:i/>
          <w:noProof/>
          <w:lang w:val="id-ID"/>
        </w:rPr>
        <w:t xml:space="preserve">iew of </w:t>
      </w:r>
      <w:r w:rsidRPr="00681748">
        <w:rPr>
          <w:rFonts w:ascii="Goudy Old Style" w:hAnsi="Goudy Old Style"/>
          <w:i/>
          <w:noProof/>
        </w:rPr>
        <w:t>Mol</w:t>
      </w:r>
      <w:r w:rsidR="00681748" w:rsidRPr="00681748">
        <w:rPr>
          <w:rFonts w:ascii="Goudy Old Style" w:hAnsi="Goudy Old Style"/>
          <w:i/>
          <w:noProof/>
          <w:lang w:val="id-ID"/>
        </w:rPr>
        <w:t xml:space="preserve">ecular </w:t>
      </w:r>
      <w:r w:rsidRPr="00681748">
        <w:rPr>
          <w:rFonts w:ascii="Goudy Old Style" w:hAnsi="Goudy Old Style"/>
          <w:i/>
          <w:noProof/>
        </w:rPr>
        <w:t>Diagn</w:t>
      </w:r>
      <w:r w:rsidR="00681748" w:rsidRPr="00681748">
        <w:rPr>
          <w:rFonts w:ascii="Goudy Old Style" w:hAnsi="Goudy Old Style"/>
          <w:i/>
          <w:noProof/>
          <w:lang w:val="id-ID"/>
        </w:rPr>
        <w:t>ostics</w:t>
      </w:r>
      <w:r w:rsidRPr="0004060E">
        <w:rPr>
          <w:rFonts w:ascii="Goudy Old Style" w:hAnsi="Goudy Old Style"/>
          <w:noProof/>
        </w:rPr>
        <w:t xml:space="preserve">. 2019;19(11):959–62. </w:t>
      </w:r>
    </w:p>
    <w:p w14:paraId="462CBA24" w14:textId="3DB79E78" w:rsidR="00503777" w:rsidRPr="0004060E" w:rsidRDefault="00503777" w:rsidP="00DE345A">
      <w:pPr>
        <w:widowControl w:val="0"/>
        <w:autoSpaceDE w:val="0"/>
        <w:autoSpaceDN w:val="0"/>
        <w:adjustRightInd w:val="0"/>
        <w:spacing w:before="120" w:after="120"/>
        <w:ind w:left="709" w:hanging="425"/>
        <w:jc w:val="both"/>
        <w:rPr>
          <w:rFonts w:ascii="Goudy Old Style" w:hAnsi="Goudy Old Style"/>
          <w:noProof/>
        </w:rPr>
      </w:pPr>
      <w:r w:rsidRPr="0004060E">
        <w:rPr>
          <w:rFonts w:ascii="Goudy Old Style" w:hAnsi="Goudy Old Style"/>
          <w:noProof/>
        </w:rPr>
        <w:t xml:space="preserve">4. </w:t>
      </w:r>
      <w:r w:rsidRPr="0004060E">
        <w:rPr>
          <w:rFonts w:ascii="Goudy Old Style" w:hAnsi="Goudy Old Style"/>
          <w:noProof/>
        </w:rPr>
        <w:tab/>
        <w:t xml:space="preserve">Tamma PD, Miller MA, Cosgrove SE. Recalibrating our approach to the management of sepsis how the four moments of antibiotic decision-making can help. </w:t>
      </w:r>
      <w:r w:rsidRPr="00681748">
        <w:rPr>
          <w:rFonts w:ascii="Goudy Old Style" w:hAnsi="Goudy Old Style"/>
          <w:i/>
          <w:noProof/>
        </w:rPr>
        <w:t>Ann</w:t>
      </w:r>
      <w:r w:rsidR="00681748" w:rsidRPr="00681748">
        <w:rPr>
          <w:rFonts w:ascii="Goudy Old Style" w:hAnsi="Goudy Old Style"/>
          <w:i/>
          <w:noProof/>
          <w:lang w:val="id-ID"/>
        </w:rPr>
        <w:t xml:space="preserve">als of </w:t>
      </w:r>
      <w:r w:rsidRPr="00681748">
        <w:rPr>
          <w:rFonts w:ascii="Goudy Old Style" w:hAnsi="Goudy Old Style"/>
          <w:i/>
          <w:noProof/>
        </w:rPr>
        <w:t>Am</w:t>
      </w:r>
      <w:r w:rsidR="00681748" w:rsidRPr="00681748">
        <w:rPr>
          <w:rFonts w:ascii="Goudy Old Style" w:hAnsi="Goudy Old Style"/>
          <w:i/>
          <w:noProof/>
          <w:lang w:val="id-ID"/>
        </w:rPr>
        <w:t xml:space="preserve">erica </w:t>
      </w:r>
      <w:r w:rsidRPr="00681748">
        <w:rPr>
          <w:rFonts w:ascii="Goudy Old Style" w:hAnsi="Goudy Old Style"/>
          <w:i/>
          <w:noProof/>
        </w:rPr>
        <w:t>Thorac</w:t>
      </w:r>
      <w:r w:rsidR="00681748" w:rsidRPr="00681748">
        <w:rPr>
          <w:rFonts w:ascii="Goudy Old Style" w:hAnsi="Goudy Old Style"/>
          <w:i/>
          <w:noProof/>
          <w:lang w:val="id-ID"/>
        </w:rPr>
        <w:t>ic</w:t>
      </w:r>
      <w:r w:rsidRPr="00681748">
        <w:rPr>
          <w:rFonts w:ascii="Goudy Old Style" w:hAnsi="Goudy Old Style"/>
          <w:i/>
          <w:noProof/>
        </w:rPr>
        <w:t xml:space="preserve"> Soc</w:t>
      </w:r>
      <w:r w:rsidR="00681748" w:rsidRPr="00681748">
        <w:rPr>
          <w:rFonts w:ascii="Goudy Old Style" w:hAnsi="Goudy Old Style"/>
          <w:i/>
          <w:noProof/>
          <w:lang w:val="id-ID"/>
        </w:rPr>
        <w:t>iety</w:t>
      </w:r>
      <w:r w:rsidRPr="0004060E">
        <w:rPr>
          <w:rFonts w:ascii="Goudy Old Style" w:hAnsi="Goudy Old Style"/>
          <w:noProof/>
        </w:rPr>
        <w:t xml:space="preserve">. 2021;18(2):200–3. </w:t>
      </w:r>
    </w:p>
    <w:p w14:paraId="3CEDD6E9" w14:textId="4C0E526E" w:rsidR="00503777" w:rsidRPr="0004060E" w:rsidRDefault="00503777" w:rsidP="00DE345A">
      <w:pPr>
        <w:widowControl w:val="0"/>
        <w:autoSpaceDE w:val="0"/>
        <w:autoSpaceDN w:val="0"/>
        <w:adjustRightInd w:val="0"/>
        <w:spacing w:before="120" w:after="120"/>
        <w:ind w:left="709" w:hanging="425"/>
        <w:jc w:val="both"/>
        <w:rPr>
          <w:rFonts w:ascii="Goudy Old Style" w:hAnsi="Goudy Old Style"/>
          <w:noProof/>
        </w:rPr>
      </w:pPr>
      <w:r w:rsidRPr="0004060E">
        <w:rPr>
          <w:rFonts w:ascii="Goudy Old Style" w:hAnsi="Goudy Old Style"/>
          <w:noProof/>
        </w:rPr>
        <w:t xml:space="preserve">5. </w:t>
      </w:r>
      <w:r w:rsidRPr="0004060E">
        <w:rPr>
          <w:rFonts w:ascii="Goudy Old Style" w:hAnsi="Goudy Old Style"/>
          <w:noProof/>
        </w:rPr>
        <w:tab/>
        <w:t xml:space="preserve">Sanjaya BD, Djuang MH, Muniro FD, Chiuman L. Sepsis Risk Factors in Elderly Patients At Royal Prima Medan General Hospital. </w:t>
      </w:r>
      <w:r w:rsidRPr="00681748">
        <w:rPr>
          <w:rFonts w:ascii="Goudy Old Style" w:hAnsi="Goudy Old Style"/>
          <w:i/>
          <w:noProof/>
        </w:rPr>
        <w:t>Jambura J</w:t>
      </w:r>
      <w:r w:rsidR="00681748" w:rsidRPr="00681748">
        <w:rPr>
          <w:rFonts w:ascii="Goudy Old Style" w:hAnsi="Goudy Old Style"/>
          <w:i/>
          <w:noProof/>
          <w:lang w:val="id-ID"/>
        </w:rPr>
        <w:t xml:space="preserve">ournal of </w:t>
      </w:r>
      <w:r w:rsidRPr="00681748">
        <w:rPr>
          <w:rFonts w:ascii="Goudy Old Style" w:hAnsi="Goudy Old Style"/>
          <w:i/>
          <w:noProof/>
        </w:rPr>
        <w:t>Heal</w:t>
      </w:r>
      <w:r w:rsidR="00681748" w:rsidRPr="00681748">
        <w:rPr>
          <w:rFonts w:ascii="Goudy Old Style" w:hAnsi="Goudy Old Style"/>
          <w:i/>
          <w:noProof/>
          <w:lang w:val="id-ID"/>
        </w:rPr>
        <w:t>th</w:t>
      </w:r>
      <w:r w:rsidRPr="00681748">
        <w:rPr>
          <w:rFonts w:ascii="Goudy Old Style" w:hAnsi="Goudy Old Style"/>
          <w:i/>
          <w:noProof/>
        </w:rPr>
        <w:t xml:space="preserve"> Sci</w:t>
      </w:r>
      <w:r w:rsidR="00681748" w:rsidRPr="00681748">
        <w:rPr>
          <w:rFonts w:ascii="Goudy Old Style" w:hAnsi="Goudy Old Style"/>
          <w:i/>
          <w:noProof/>
          <w:lang w:val="id-ID"/>
        </w:rPr>
        <w:t xml:space="preserve">ence and </w:t>
      </w:r>
      <w:r w:rsidRPr="00681748">
        <w:rPr>
          <w:rFonts w:ascii="Goudy Old Style" w:hAnsi="Goudy Old Style"/>
          <w:i/>
          <w:noProof/>
        </w:rPr>
        <w:t>Res</w:t>
      </w:r>
      <w:r w:rsidR="00681748" w:rsidRPr="00681748">
        <w:rPr>
          <w:rFonts w:ascii="Goudy Old Style" w:hAnsi="Goudy Old Style"/>
          <w:i/>
          <w:noProof/>
          <w:lang w:val="id-ID"/>
        </w:rPr>
        <w:t>earch</w:t>
      </w:r>
      <w:r w:rsidRPr="0004060E">
        <w:rPr>
          <w:rFonts w:ascii="Goudy Old Style" w:hAnsi="Goudy Old Style"/>
          <w:noProof/>
        </w:rPr>
        <w:t xml:space="preserve">. 2022;4(3):596–603. </w:t>
      </w:r>
    </w:p>
    <w:p w14:paraId="0B5A8EB3" w14:textId="0D713085" w:rsidR="00503777" w:rsidRPr="0004060E" w:rsidRDefault="00503777" w:rsidP="00DE345A">
      <w:pPr>
        <w:widowControl w:val="0"/>
        <w:autoSpaceDE w:val="0"/>
        <w:autoSpaceDN w:val="0"/>
        <w:adjustRightInd w:val="0"/>
        <w:spacing w:before="120" w:after="120"/>
        <w:ind w:left="709" w:hanging="425"/>
        <w:jc w:val="both"/>
        <w:rPr>
          <w:rFonts w:ascii="Goudy Old Style" w:hAnsi="Goudy Old Style"/>
          <w:noProof/>
        </w:rPr>
      </w:pPr>
      <w:r w:rsidRPr="0004060E">
        <w:rPr>
          <w:rFonts w:ascii="Goudy Old Style" w:hAnsi="Goudy Old Style"/>
          <w:noProof/>
        </w:rPr>
        <w:t xml:space="preserve">6. </w:t>
      </w:r>
      <w:r w:rsidRPr="0004060E">
        <w:rPr>
          <w:rFonts w:ascii="Goudy Old Style" w:hAnsi="Goudy Old Style"/>
          <w:noProof/>
        </w:rPr>
        <w:tab/>
        <w:t xml:space="preserve">Fathi M, Markazi-Moghaddam N, Ramezankhani A. A systematic review on risk factors associated with sepsis in patients admitted to intensive care units. </w:t>
      </w:r>
      <w:r w:rsidRPr="005D6B69">
        <w:rPr>
          <w:rFonts w:ascii="Goudy Old Style" w:hAnsi="Goudy Old Style"/>
          <w:i/>
          <w:noProof/>
        </w:rPr>
        <w:t>Aust</w:t>
      </w:r>
      <w:r w:rsidR="005D6B69" w:rsidRPr="005D6B69">
        <w:rPr>
          <w:rFonts w:ascii="Goudy Old Style" w:hAnsi="Goudy Old Style"/>
          <w:i/>
          <w:noProof/>
          <w:lang w:val="id-ID"/>
        </w:rPr>
        <w:t xml:space="preserve">ralian </w:t>
      </w:r>
      <w:r w:rsidRPr="005D6B69">
        <w:rPr>
          <w:rFonts w:ascii="Goudy Old Style" w:hAnsi="Goudy Old Style"/>
          <w:i/>
          <w:noProof/>
        </w:rPr>
        <w:t>Crit</w:t>
      </w:r>
      <w:r w:rsidR="005D6B69" w:rsidRPr="005D6B69">
        <w:rPr>
          <w:rFonts w:ascii="Goudy Old Style" w:hAnsi="Goudy Old Style"/>
          <w:i/>
          <w:noProof/>
          <w:lang w:val="id-ID"/>
        </w:rPr>
        <w:t xml:space="preserve">ical </w:t>
      </w:r>
      <w:r w:rsidRPr="005D6B69">
        <w:rPr>
          <w:rFonts w:ascii="Goudy Old Style" w:hAnsi="Goudy Old Style"/>
          <w:i/>
          <w:noProof/>
        </w:rPr>
        <w:t>Care</w:t>
      </w:r>
      <w:r w:rsidRPr="0004060E">
        <w:rPr>
          <w:rFonts w:ascii="Goudy Old Style" w:hAnsi="Goudy Old Style"/>
          <w:noProof/>
        </w:rPr>
        <w:t xml:space="preserve">. 2019;32(2):155–64. </w:t>
      </w:r>
    </w:p>
    <w:p w14:paraId="2C212BA4" w14:textId="3A1BBADA" w:rsidR="00503777" w:rsidRPr="00645482" w:rsidRDefault="00503777" w:rsidP="00DE345A">
      <w:pPr>
        <w:widowControl w:val="0"/>
        <w:autoSpaceDE w:val="0"/>
        <w:autoSpaceDN w:val="0"/>
        <w:adjustRightInd w:val="0"/>
        <w:spacing w:before="120" w:after="120"/>
        <w:ind w:left="709" w:hanging="425"/>
        <w:jc w:val="both"/>
        <w:rPr>
          <w:rFonts w:ascii="Goudy Old Style" w:hAnsi="Goudy Old Style"/>
          <w:noProof/>
          <w:lang w:val="id-ID"/>
        </w:rPr>
      </w:pPr>
      <w:r w:rsidRPr="0004060E">
        <w:rPr>
          <w:rFonts w:ascii="Goudy Old Style" w:hAnsi="Goudy Old Style"/>
          <w:noProof/>
        </w:rPr>
        <w:t xml:space="preserve">7. </w:t>
      </w:r>
      <w:r w:rsidRPr="0004060E">
        <w:rPr>
          <w:rFonts w:ascii="Goudy Old Style" w:hAnsi="Goudy Old Style"/>
          <w:noProof/>
        </w:rPr>
        <w:tab/>
      </w:r>
      <w:r w:rsidR="00645482" w:rsidRPr="00645482">
        <w:rPr>
          <w:rFonts w:ascii="Goudy Old Style" w:hAnsi="Goudy Old Style"/>
          <w:noProof/>
        </w:rPr>
        <w:t>World Health Organization.</w:t>
      </w:r>
      <w:r w:rsidRPr="00645482">
        <w:rPr>
          <w:rFonts w:ascii="Goudy Old Style" w:hAnsi="Goudy Old Style"/>
          <w:noProof/>
        </w:rPr>
        <w:t xml:space="preserve">. Sepsis. </w:t>
      </w:r>
      <w:r w:rsidR="00645482" w:rsidRPr="00645482">
        <w:rPr>
          <w:rFonts w:ascii="Goudy Old Style" w:hAnsi="Goudy Old Style"/>
          <w:noProof/>
          <w:lang w:val="id-ID"/>
        </w:rPr>
        <w:t xml:space="preserve">[Internet] </w:t>
      </w:r>
      <w:r w:rsidRPr="00645482">
        <w:rPr>
          <w:rFonts w:ascii="Goudy Old Style" w:hAnsi="Goudy Old Style"/>
          <w:noProof/>
        </w:rPr>
        <w:t xml:space="preserve">2023. </w:t>
      </w:r>
      <w:r w:rsidR="00645482" w:rsidRPr="00645482">
        <w:rPr>
          <w:rFonts w:ascii="Goudy Old Style" w:hAnsi="Goudy Old Style"/>
          <w:noProof/>
          <w:lang w:val="id-ID"/>
        </w:rPr>
        <w:t>Available from : https://www.who.int/news-room/fact-sheets/detail/sepsis</w:t>
      </w:r>
    </w:p>
    <w:p w14:paraId="0F93F86A" w14:textId="1B88172F" w:rsidR="00503777" w:rsidRPr="0004060E" w:rsidRDefault="00503777" w:rsidP="00DE345A">
      <w:pPr>
        <w:widowControl w:val="0"/>
        <w:autoSpaceDE w:val="0"/>
        <w:autoSpaceDN w:val="0"/>
        <w:adjustRightInd w:val="0"/>
        <w:spacing w:before="120" w:after="120"/>
        <w:ind w:left="709" w:hanging="425"/>
        <w:jc w:val="both"/>
        <w:rPr>
          <w:rFonts w:ascii="Goudy Old Style" w:hAnsi="Goudy Old Style"/>
          <w:noProof/>
        </w:rPr>
      </w:pPr>
      <w:r w:rsidRPr="0004060E">
        <w:rPr>
          <w:rFonts w:ascii="Goudy Old Style" w:hAnsi="Goudy Old Style"/>
          <w:noProof/>
        </w:rPr>
        <w:t xml:space="preserve">8. </w:t>
      </w:r>
      <w:r w:rsidRPr="0004060E">
        <w:rPr>
          <w:rFonts w:ascii="Goudy Old Style" w:hAnsi="Goudy Old Style"/>
          <w:noProof/>
        </w:rPr>
        <w:tab/>
        <w:t xml:space="preserve">Bassetti M, Giacobbe DR, Vena A, Wolff M. Diagnosis and Treatment of Candidemia in the Intensive Care Unit. </w:t>
      </w:r>
      <w:r w:rsidRPr="005D6B69">
        <w:rPr>
          <w:rFonts w:ascii="Goudy Old Style" w:hAnsi="Goudy Old Style"/>
          <w:i/>
          <w:noProof/>
        </w:rPr>
        <w:t>Semin</w:t>
      </w:r>
      <w:r w:rsidR="005D6B69" w:rsidRPr="005D6B69">
        <w:rPr>
          <w:rFonts w:ascii="Goudy Old Style" w:hAnsi="Goudy Old Style"/>
          <w:i/>
          <w:noProof/>
          <w:lang w:val="id-ID"/>
        </w:rPr>
        <w:t xml:space="preserve">ars in </w:t>
      </w:r>
      <w:r w:rsidRPr="005D6B69">
        <w:rPr>
          <w:rFonts w:ascii="Goudy Old Style" w:hAnsi="Goudy Old Style"/>
          <w:i/>
          <w:noProof/>
        </w:rPr>
        <w:t>Respir</w:t>
      </w:r>
      <w:r w:rsidR="005D6B69" w:rsidRPr="005D6B69">
        <w:rPr>
          <w:rFonts w:ascii="Goudy Old Style" w:hAnsi="Goudy Old Style"/>
          <w:i/>
          <w:noProof/>
          <w:lang w:val="id-ID"/>
        </w:rPr>
        <w:t xml:space="preserve">atory and </w:t>
      </w:r>
      <w:r w:rsidRPr="005D6B69">
        <w:rPr>
          <w:rFonts w:ascii="Goudy Old Style" w:hAnsi="Goudy Old Style"/>
          <w:i/>
          <w:noProof/>
        </w:rPr>
        <w:t>Crit</w:t>
      </w:r>
      <w:r w:rsidR="005D6B69" w:rsidRPr="005D6B69">
        <w:rPr>
          <w:rFonts w:ascii="Goudy Old Style" w:hAnsi="Goudy Old Style"/>
          <w:i/>
          <w:noProof/>
          <w:lang w:val="id-ID"/>
        </w:rPr>
        <w:t xml:space="preserve">ical </w:t>
      </w:r>
      <w:r w:rsidRPr="005D6B69">
        <w:rPr>
          <w:rFonts w:ascii="Goudy Old Style" w:hAnsi="Goudy Old Style"/>
          <w:i/>
          <w:noProof/>
        </w:rPr>
        <w:t>Care Med</w:t>
      </w:r>
      <w:r w:rsidR="005D6B69" w:rsidRPr="005D6B69">
        <w:rPr>
          <w:rFonts w:ascii="Goudy Old Style" w:hAnsi="Goudy Old Style"/>
          <w:i/>
          <w:noProof/>
          <w:lang w:val="id-ID"/>
        </w:rPr>
        <w:t>icine</w:t>
      </w:r>
      <w:r w:rsidRPr="0004060E">
        <w:rPr>
          <w:rFonts w:ascii="Goudy Old Style" w:hAnsi="Goudy Old Style"/>
          <w:noProof/>
        </w:rPr>
        <w:t xml:space="preserve">. 2019;40(4):524–39. </w:t>
      </w:r>
    </w:p>
    <w:p w14:paraId="3AADB913" w14:textId="3E377600" w:rsidR="00503777" w:rsidRPr="0004060E" w:rsidRDefault="00503777" w:rsidP="00DE345A">
      <w:pPr>
        <w:widowControl w:val="0"/>
        <w:autoSpaceDE w:val="0"/>
        <w:autoSpaceDN w:val="0"/>
        <w:adjustRightInd w:val="0"/>
        <w:spacing w:before="120" w:after="120"/>
        <w:ind w:left="709" w:hanging="425"/>
        <w:jc w:val="both"/>
        <w:rPr>
          <w:rFonts w:ascii="Goudy Old Style" w:hAnsi="Goudy Old Style"/>
          <w:noProof/>
        </w:rPr>
      </w:pPr>
      <w:r w:rsidRPr="0004060E">
        <w:rPr>
          <w:rFonts w:ascii="Goudy Old Style" w:hAnsi="Goudy Old Style"/>
          <w:noProof/>
        </w:rPr>
        <w:t xml:space="preserve">9. </w:t>
      </w:r>
      <w:r w:rsidRPr="0004060E">
        <w:rPr>
          <w:rFonts w:ascii="Goudy Old Style" w:hAnsi="Goudy Old Style"/>
          <w:noProof/>
        </w:rPr>
        <w:tab/>
      </w:r>
      <w:r w:rsidRPr="00645482">
        <w:rPr>
          <w:rFonts w:ascii="Goudy Old Style" w:hAnsi="Goudy Old Style"/>
          <w:noProof/>
        </w:rPr>
        <w:t xml:space="preserve">Evans T. </w:t>
      </w:r>
      <w:r w:rsidR="00645482" w:rsidRPr="00645482">
        <w:rPr>
          <w:rFonts w:ascii="Goudy Old Style" w:hAnsi="Goudy Old Style"/>
          <w:noProof/>
        </w:rPr>
        <w:t>Diagnosis and management of sepsis</w:t>
      </w:r>
      <w:r w:rsidR="00645482">
        <w:rPr>
          <w:rFonts w:ascii="Goudy Old Style" w:hAnsi="Goudy Old Style"/>
          <w:noProof/>
          <w:lang w:val="id-ID"/>
        </w:rPr>
        <w:t xml:space="preserve">. </w:t>
      </w:r>
      <w:r w:rsidR="00645482" w:rsidRPr="00645482">
        <w:rPr>
          <w:rFonts w:ascii="Goudy Old Style" w:hAnsi="Goudy Old Style"/>
          <w:i/>
          <w:noProof/>
          <w:lang w:val="id-ID"/>
        </w:rPr>
        <w:t>Clinical Medicine</w:t>
      </w:r>
      <w:r w:rsidR="00645482">
        <w:rPr>
          <w:rFonts w:ascii="Goudy Old Style" w:hAnsi="Goudy Old Style"/>
          <w:noProof/>
          <w:lang w:val="id-ID"/>
        </w:rPr>
        <w:t xml:space="preserve">. 2018;18(2): 146-9. </w:t>
      </w:r>
    </w:p>
    <w:p w14:paraId="35A1DB14" w14:textId="688C7329" w:rsidR="00503777" w:rsidRPr="001F52C0" w:rsidRDefault="00503777" w:rsidP="00DE345A">
      <w:pPr>
        <w:widowControl w:val="0"/>
        <w:autoSpaceDE w:val="0"/>
        <w:autoSpaceDN w:val="0"/>
        <w:adjustRightInd w:val="0"/>
        <w:spacing w:before="120" w:after="120"/>
        <w:ind w:left="709" w:hanging="425"/>
        <w:jc w:val="both"/>
        <w:rPr>
          <w:rFonts w:ascii="Goudy Old Style" w:hAnsi="Goudy Old Style"/>
          <w:noProof/>
        </w:rPr>
      </w:pPr>
      <w:r w:rsidRPr="0004060E">
        <w:rPr>
          <w:rFonts w:ascii="Goudy Old Style" w:hAnsi="Goudy Old Style"/>
          <w:noProof/>
        </w:rPr>
        <w:t xml:space="preserve">10. </w:t>
      </w:r>
      <w:r w:rsidRPr="0004060E">
        <w:rPr>
          <w:rFonts w:ascii="Goudy Old Style" w:hAnsi="Goudy Old Style"/>
          <w:noProof/>
        </w:rPr>
        <w:tab/>
        <w:t>Sinha M, Jupe J, Mack H, Coleman TP, Lawrence SM, Fraley I. Emerg</w:t>
      </w:r>
      <w:r w:rsidRPr="001F52C0">
        <w:rPr>
          <w:rFonts w:ascii="Goudy Old Style" w:hAnsi="Goudy Old Style"/>
          <w:noProof/>
        </w:rPr>
        <w:t xml:space="preserve">ing Technologies for Rapid Diagnosis of </w:t>
      </w:r>
      <w:r w:rsidR="002F70C4" w:rsidRPr="001F52C0">
        <w:rPr>
          <w:rFonts w:ascii="Goudy Old Style" w:hAnsi="Goudy Old Style"/>
          <w:noProof/>
          <w:lang w:val="id-ID"/>
        </w:rPr>
        <w:t>Sepsis</w:t>
      </w:r>
      <w:r w:rsidRPr="001F52C0">
        <w:rPr>
          <w:rFonts w:ascii="Goudy Old Style" w:hAnsi="Goudy Old Style"/>
          <w:noProof/>
        </w:rPr>
        <w:t xml:space="preserve">. </w:t>
      </w:r>
      <w:r w:rsidRPr="001F52C0">
        <w:rPr>
          <w:rFonts w:ascii="Goudy Old Style" w:hAnsi="Goudy Old Style"/>
          <w:i/>
          <w:noProof/>
        </w:rPr>
        <w:t>Clin</w:t>
      </w:r>
      <w:r w:rsidR="005D6B69" w:rsidRPr="001F52C0">
        <w:rPr>
          <w:rFonts w:ascii="Goudy Old Style" w:hAnsi="Goudy Old Style"/>
          <w:i/>
          <w:noProof/>
          <w:lang w:val="id-ID"/>
        </w:rPr>
        <w:t xml:space="preserve">ical </w:t>
      </w:r>
      <w:r w:rsidRPr="001F52C0">
        <w:rPr>
          <w:rFonts w:ascii="Goudy Old Style" w:hAnsi="Goudy Old Style"/>
          <w:i/>
          <w:noProof/>
        </w:rPr>
        <w:t>Microbiol</w:t>
      </w:r>
      <w:r w:rsidR="005D6B69" w:rsidRPr="001F52C0">
        <w:rPr>
          <w:rFonts w:ascii="Goudy Old Style" w:hAnsi="Goudy Old Style"/>
          <w:i/>
          <w:noProof/>
          <w:lang w:val="id-ID"/>
        </w:rPr>
        <w:t xml:space="preserve">ogy </w:t>
      </w:r>
      <w:r w:rsidRPr="001F52C0">
        <w:rPr>
          <w:rFonts w:ascii="Goudy Old Style" w:hAnsi="Goudy Old Style"/>
          <w:i/>
          <w:noProof/>
        </w:rPr>
        <w:t>Rev</w:t>
      </w:r>
      <w:r w:rsidR="005D6B69" w:rsidRPr="001F52C0">
        <w:rPr>
          <w:rFonts w:ascii="Goudy Old Style" w:hAnsi="Goudy Old Style"/>
          <w:i/>
          <w:noProof/>
          <w:lang w:val="id-ID"/>
        </w:rPr>
        <w:t>iews</w:t>
      </w:r>
      <w:r w:rsidRPr="001F52C0">
        <w:rPr>
          <w:rFonts w:ascii="Goudy Old Style" w:hAnsi="Goudy Old Style"/>
          <w:noProof/>
        </w:rPr>
        <w:t xml:space="preserve">. 2018;31(2):1–26. </w:t>
      </w:r>
    </w:p>
    <w:p w14:paraId="1D5E6B8E" w14:textId="6A9E9748" w:rsidR="00503777" w:rsidRPr="001F52C0" w:rsidRDefault="00503777" w:rsidP="00DE345A">
      <w:pPr>
        <w:widowControl w:val="0"/>
        <w:autoSpaceDE w:val="0"/>
        <w:autoSpaceDN w:val="0"/>
        <w:adjustRightInd w:val="0"/>
        <w:spacing w:before="120" w:after="120"/>
        <w:ind w:left="709" w:hanging="425"/>
        <w:jc w:val="both"/>
        <w:rPr>
          <w:rFonts w:ascii="Goudy Old Style" w:hAnsi="Goudy Old Style"/>
          <w:noProof/>
          <w:lang w:val="id-ID"/>
        </w:rPr>
      </w:pPr>
      <w:r w:rsidRPr="001F52C0">
        <w:rPr>
          <w:rFonts w:ascii="Goudy Old Style" w:hAnsi="Goudy Old Style"/>
          <w:noProof/>
        </w:rPr>
        <w:t xml:space="preserve">11. </w:t>
      </w:r>
      <w:r w:rsidRPr="001F52C0">
        <w:rPr>
          <w:rFonts w:ascii="Goudy Old Style" w:hAnsi="Goudy Old Style"/>
          <w:noProof/>
        </w:rPr>
        <w:tab/>
        <w:t>C</w:t>
      </w:r>
      <w:r w:rsidR="001F52C0" w:rsidRPr="001F52C0">
        <w:rPr>
          <w:rFonts w:ascii="Goudy Old Style" w:hAnsi="Goudy Old Style"/>
          <w:noProof/>
          <w:lang w:val="id-ID"/>
        </w:rPr>
        <w:t>enters for Diseases Control and Prevention</w:t>
      </w:r>
      <w:r w:rsidRPr="001F52C0">
        <w:rPr>
          <w:rFonts w:ascii="Goudy Old Style" w:hAnsi="Goudy Old Style"/>
          <w:noProof/>
        </w:rPr>
        <w:t xml:space="preserve">. Blood </w:t>
      </w:r>
      <w:r w:rsidR="00CE07FD" w:rsidRPr="001F52C0">
        <w:rPr>
          <w:rFonts w:ascii="Goudy Old Style" w:hAnsi="Goudy Old Style"/>
          <w:noProof/>
        </w:rPr>
        <w:t>Culture</w:t>
      </w:r>
      <w:r w:rsidRPr="001F52C0">
        <w:rPr>
          <w:rFonts w:ascii="Goudy Old Style" w:hAnsi="Goudy Old Style"/>
          <w:noProof/>
        </w:rPr>
        <w:t xml:space="preserve"> Contamination</w:t>
      </w:r>
      <w:r w:rsidRPr="001F52C0">
        <w:rPr>
          <w:noProof/>
        </w:rPr>
        <w:t> </w:t>
      </w:r>
      <w:r w:rsidRPr="001F52C0">
        <w:rPr>
          <w:rFonts w:ascii="Goudy Old Style" w:hAnsi="Goudy Old Style"/>
          <w:noProof/>
        </w:rPr>
        <w:t>: An Overview for Infection Control and Antibiotic Stewardship Programs Working with the Clinical Laboratory</w:t>
      </w:r>
      <w:r w:rsidR="001F52C0" w:rsidRPr="001F52C0">
        <w:rPr>
          <w:rFonts w:ascii="Goudy Old Style" w:hAnsi="Goudy Old Style"/>
          <w:noProof/>
          <w:lang w:val="id-ID"/>
        </w:rPr>
        <w:t xml:space="preserve">. [Internet]. U.S Department of Health and Human Services.  </w:t>
      </w:r>
      <w:r w:rsidRPr="001F52C0">
        <w:rPr>
          <w:rFonts w:ascii="Goudy Old Style" w:hAnsi="Goudy Old Style"/>
          <w:noProof/>
        </w:rPr>
        <w:t>2023.</w:t>
      </w:r>
      <w:r w:rsidRPr="0004060E">
        <w:rPr>
          <w:rFonts w:ascii="Goudy Old Style" w:hAnsi="Goudy Old Style"/>
          <w:noProof/>
        </w:rPr>
        <w:t xml:space="preserve"> </w:t>
      </w:r>
      <w:r w:rsidR="001F52C0">
        <w:rPr>
          <w:rFonts w:ascii="Goudy Old Style" w:hAnsi="Goudy Old Style"/>
          <w:noProof/>
          <w:lang w:val="id-ID"/>
        </w:rPr>
        <w:t xml:space="preserve"> Available from : </w:t>
      </w:r>
      <w:r w:rsidR="001F52C0" w:rsidRPr="001F52C0">
        <w:rPr>
          <w:rFonts w:ascii="Goudy Old Style" w:hAnsi="Goudy Old Style"/>
          <w:noProof/>
          <w:lang w:val="id-ID"/>
        </w:rPr>
        <w:t>https://www.cdc.gov/antibiotic-use/core-elements/pdfs/fs-bloodculture-508.pdf</w:t>
      </w:r>
    </w:p>
    <w:p w14:paraId="4A50DF88" w14:textId="759AB3A2" w:rsidR="00503777" w:rsidRPr="0004060E" w:rsidRDefault="00503777" w:rsidP="00DE345A">
      <w:pPr>
        <w:widowControl w:val="0"/>
        <w:autoSpaceDE w:val="0"/>
        <w:autoSpaceDN w:val="0"/>
        <w:adjustRightInd w:val="0"/>
        <w:spacing w:before="120" w:after="120"/>
        <w:ind w:left="709" w:hanging="425"/>
        <w:jc w:val="both"/>
        <w:rPr>
          <w:rFonts w:ascii="Goudy Old Style" w:hAnsi="Goudy Old Style"/>
          <w:noProof/>
        </w:rPr>
      </w:pPr>
      <w:r w:rsidRPr="0004060E">
        <w:rPr>
          <w:rFonts w:ascii="Goudy Old Style" w:hAnsi="Goudy Old Style"/>
          <w:noProof/>
        </w:rPr>
        <w:t xml:space="preserve">12. </w:t>
      </w:r>
      <w:r w:rsidRPr="0004060E">
        <w:rPr>
          <w:rFonts w:ascii="Goudy Old Style" w:hAnsi="Goudy Old Style"/>
          <w:noProof/>
        </w:rPr>
        <w:tab/>
        <w:t xml:space="preserve">De Rose DU, Perri A, Auriti C, Gallini F, Maggio L, Fiori B, et al. Time to positivity of blood </w:t>
      </w:r>
      <w:r w:rsidR="00CE07FD">
        <w:rPr>
          <w:rFonts w:ascii="Goudy Old Style" w:hAnsi="Goudy Old Style"/>
          <w:noProof/>
        </w:rPr>
        <w:t>culture</w:t>
      </w:r>
      <w:r w:rsidRPr="0004060E">
        <w:rPr>
          <w:rFonts w:ascii="Goudy Old Style" w:hAnsi="Goudy Old Style"/>
          <w:noProof/>
        </w:rPr>
        <w:t xml:space="preserve"> could inform decisions on antibiotics administration in neonatal early-onset sepsis. </w:t>
      </w:r>
      <w:r w:rsidRPr="002F70C4">
        <w:rPr>
          <w:rFonts w:ascii="Goudy Old Style" w:hAnsi="Goudy Old Style"/>
          <w:i/>
          <w:noProof/>
        </w:rPr>
        <w:t>Antibiotics</w:t>
      </w:r>
      <w:r w:rsidRPr="0004060E">
        <w:rPr>
          <w:rFonts w:ascii="Goudy Old Style" w:hAnsi="Goudy Old Style"/>
          <w:noProof/>
        </w:rPr>
        <w:t xml:space="preserve">. 2021;10(2):1–7. </w:t>
      </w:r>
    </w:p>
    <w:p w14:paraId="1B9C400C" w14:textId="105B6829" w:rsidR="00503777" w:rsidRPr="0004060E" w:rsidRDefault="00503777" w:rsidP="00DE345A">
      <w:pPr>
        <w:widowControl w:val="0"/>
        <w:autoSpaceDE w:val="0"/>
        <w:autoSpaceDN w:val="0"/>
        <w:adjustRightInd w:val="0"/>
        <w:spacing w:before="120" w:after="120"/>
        <w:ind w:left="709" w:hanging="425"/>
        <w:jc w:val="both"/>
        <w:rPr>
          <w:rFonts w:ascii="Goudy Old Style" w:hAnsi="Goudy Old Style"/>
          <w:noProof/>
        </w:rPr>
      </w:pPr>
      <w:r w:rsidRPr="0004060E">
        <w:rPr>
          <w:rFonts w:ascii="Goudy Old Style" w:hAnsi="Goudy Old Style"/>
          <w:noProof/>
        </w:rPr>
        <w:t xml:space="preserve">13. </w:t>
      </w:r>
      <w:r w:rsidRPr="0004060E">
        <w:rPr>
          <w:rFonts w:ascii="Goudy Old Style" w:hAnsi="Goudy Old Style"/>
          <w:noProof/>
        </w:rPr>
        <w:tab/>
        <w:t xml:space="preserve">Li Y, Guo J, Yang H, Li H, Shen Y, Zhang D. Comparison of </w:t>
      </w:r>
      <w:r w:rsidR="00CE07FD">
        <w:rPr>
          <w:rFonts w:ascii="Goudy Old Style" w:hAnsi="Goudy Old Style"/>
          <w:noProof/>
        </w:rPr>
        <w:t>culture</w:t>
      </w:r>
      <w:r w:rsidRPr="0004060E">
        <w:rPr>
          <w:rFonts w:ascii="Goudy Old Style" w:hAnsi="Goudy Old Style"/>
          <w:noProof/>
        </w:rPr>
        <w:t xml:space="preserve">-negative and </w:t>
      </w:r>
      <w:r w:rsidR="00CE07FD">
        <w:rPr>
          <w:rFonts w:ascii="Goudy Old Style" w:hAnsi="Goudy Old Style"/>
          <w:noProof/>
        </w:rPr>
        <w:t>culture</w:t>
      </w:r>
      <w:r w:rsidRPr="0004060E">
        <w:rPr>
          <w:rFonts w:ascii="Goudy Old Style" w:hAnsi="Goudy Old Style"/>
          <w:noProof/>
        </w:rPr>
        <w:t xml:space="preserve">-positive sepsis or septic shock: a systematic review and meta-analysis. </w:t>
      </w:r>
      <w:r w:rsidRPr="002F70C4">
        <w:rPr>
          <w:rFonts w:ascii="Goudy Old Style" w:hAnsi="Goudy Old Style"/>
          <w:i/>
          <w:noProof/>
        </w:rPr>
        <w:t>Crit</w:t>
      </w:r>
      <w:r w:rsidR="002F70C4" w:rsidRPr="002F70C4">
        <w:rPr>
          <w:rFonts w:ascii="Goudy Old Style" w:hAnsi="Goudy Old Style"/>
          <w:i/>
          <w:noProof/>
          <w:lang w:val="id-ID"/>
        </w:rPr>
        <w:t xml:space="preserve">ical </w:t>
      </w:r>
      <w:r w:rsidRPr="002F70C4">
        <w:rPr>
          <w:rFonts w:ascii="Goudy Old Style" w:hAnsi="Goudy Old Style"/>
          <w:i/>
          <w:noProof/>
        </w:rPr>
        <w:t xml:space="preserve"> Care</w:t>
      </w:r>
      <w:r w:rsidRPr="0004060E">
        <w:rPr>
          <w:rFonts w:ascii="Goudy Old Style" w:hAnsi="Goudy Old Style"/>
          <w:noProof/>
        </w:rPr>
        <w:t xml:space="preserve">. 2021;25(1):1–9. </w:t>
      </w:r>
    </w:p>
    <w:p w14:paraId="5451C574" w14:textId="191198A6" w:rsidR="00503777" w:rsidRPr="0004060E" w:rsidRDefault="00503777" w:rsidP="00DE345A">
      <w:pPr>
        <w:widowControl w:val="0"/>
        <w:autoSpaceDE w:val="0"/>
        <w:autoSpaceDN w:val="0"/>
        <w:adjustRightInd w:val="0"/>
        <w:spacing w:before="120" w:after="120"/>
        <w:ind w:left="709" w:hanging="425"/>
        <w:jc w:val="both"/>
        <w:rPr>
          <w:rFonts w:ascii="Goudy Old Style" w:hAnsi="Goudy Old Style"/>
          <w:noProof/>
        </w:rPr>
      </w:pPr>
      <w:r w:rsidRPr="0004060E">
        <w:rPr>
          <w:rFonts w:ascii="Goudy Old Style" w:hAnsi="Goudy Old Style"/>
          <w:noProof/>
        </w:rPr>
        <w:t xml:space="preserve">14. </w:t>
      </w:r>
      <w:r w:rsidRPr="0004060E">
        <w:rPr>
          <w:rFonts w:ascii="Goudy Old Style" w:hAnsi="Goudy Old Style"/>
          <w:noProof/>
        </w:rPr>
        <w:tab/>
        <w:t xml:space="preserve">Scheer CS, Fuchs C, Gründling M, Vollmer M, Bast J, Bohnert JA, et al. Impact of antibiotic administration on blood </w:t>
      </w:r>
      <w:r w:rsidR="00CE07FD">
        <w:rPr>
          <w:rFonts w:ascii="Goudy Old Style" w:hAnsi="Goudy Old Style"/>
          <w:noProof/>
        </w:rPr>
        <w:t>culture</w:t>
      </w:r>
      <w:r w:rsidRPr="0004060E">
        <w:rPr>
          <w:rFonts w:ascii="Goudy Old Style" w:hAnsi="Goudy Old Style"/>
          <w:noProof/>
        </w:rPr>
        <w:t xml:space="preserve"> positivity at the beginning of sepsis: a prospective clinical cohort study. </w:t>
      </w:r>
      <w:r w:rsidRPr="002F70C4">
        <w:rPr>
          <w:rFonts w:ascii="Goudy Old Style" w:hAnsi="Goudy Old Style"/>
          <w:i/>
          <w:noProof/>
        </w:rPr>
        <w:t>Clin</w:t>
      </w:r>
      <w:r w:rsidR="002F70C4" w:rsidRPr="002F70C4">
        <w:rPr>
          <w:rFonts w:ascii="Goudy Old Style" w:hAnsi="Goudy Old Style"/>
          <w:i/>
          <w:noProof/>
          <w:lang w:val="id-ID"/>
        </w:rPr>
        <w:t xml:space="preserve">ical </w:t>
      </w:r>
      <w:r w:rsidRPr="002F70C4">
        <w:rPr>
          <w:rFonts w:ascii="Goudy Old Style" w:hAnsi="Goudy Old Style"/>
          <w:i/>
          <w:noProof/>
        </w:rPr>
        <w:t>Microbiol</w:t>
      </w:r>
      <w:r w:rsidR="002F70C4" w:rsidRPr="002F70C4">
        <w:rPr>
          <w:rFonts w:ascii="Goudy Old Style" w:hAnsi="Goudy Old Style"/>
          <w:i/>
          <w:noProof/>
          <w:lang w:val="id-ID"/>
        </w:rPr>
        <w:t xml:space="preserve">ogy and </w:t>
      </w:r>
      <w:r w:rsidRPr="002F70C4">
        <w:rPr>
          <w:rFonts w:ascii="Goudy Old Style" w:hAnsi="Goudy Old Style"/>
          <w:i/>
          <w:noProof/>
        </w:rPr>
        <w:t>Infect</w:t>
      </w:r>
      <w:r w:rsidR="002F70C4" w:rsidRPr="002F70C4">
        <w:rPr>
          <w:rFonts w:ascii="Goudy Old Style" w:hAnsi="Goudy Old Style"/>
          <w:i/>
          <w:noProof/>
          <w:lang w:val="id-ID"/>
        </w:rPr>
        <w:t>ion</w:t>
      </w:r>
      <w:r w:rsidR="002F70C4">
        <w:rPr>
          <w:rFonts w:ascii="Goudy Old Style" w:hAnsi="Goudy Old Style"/>
          <w:noProof/>
          <w:lang w:val="id-ID"/>
        </w:rPr>
        <w:t xml:space="preserve">. </w:t>
      </w:r>
      <w:r w:rsidRPr="0004060E">
        <w:rPr>
          <w:rFonts w:ascii="Goudy Old Style" w:hAnsi="Goudy Old Style"/>
          <w:noProof/>
        </w:rPr>
        <w:t xml:space="preserve">2019;25(3):326–31. </w:t>
      </w:r>
    </w:p>
    <w:p w14:paraId="6010DCB7" w14:textId="0903D686" w:rsidR="00503777" w:rsidRPr="0004060E" w:rsidRDefault="00503777" w:rsidP="00DE345A">
      <w:pPr>
        <w:widowControl w:val="0"/>
        <w:autoSpaceDE w:val="0"/>
        <w:autoSpaceDN w:val="0"/>
        <w:adjustRightInd w:val="0"/>
        <w:spacing w:before="120" w:after="120"/>
        <w:ind w:left="709" w:hanging="425"/>
        <w:jc w:val="both"/>
        <w:rPr>
          <w:rFonts w:ascii="Goudy Old Style" w:hAnsi="Goudy Old Style"/>
          <w:noProof/>
        </w:rPr>
      </w:pPr>
      <w:r w:rsidRPr="0004060E">
        <w:rPr>
          <w:rFonts w:ascii="Goudy Old Style" w:hAnsi="Goudy Old Style"/>
          <w:noProof/>
        </w:rPr>
        <w:t xml:space="preserve">15. </w:t>
      </w:r>
      <w:r w:rsidRPr="0004060E">
        <w:rPr>
          <w:rFonts w:ascii="Goudy Old Style" w:hAnsi="Goudy Old Style"/>
          <w:noProof/>
        </w:rPr>
        <w:tab/>
        <w:t xml:space="preserve">Ter SK, Rattanavong S, Roberts T, Sengduangphachanh A, Sihalath S, Panapruksachat </w:t>
      </w:r>
      <w:r w:rsidRPr="0004060E">
        <w:rPr>
          <w:rFonts w:ascii="Goudy Old Style" w:hAnsi="Goudy Old Style"/>
          <w:noProof/>
        </w:rPr>
        <w:lastRenderedPageBreak/>
        <w:t xml:space="preserve">S, et al. Molecular detection of pathogens in negative blood </w:t>
      </w:r>
      <w:r w:rsidR="00CE07FD">
        <w:rPr>
          <w:rFonts w:ascii="Goudy Old Style" w:hAnsi="Goudy Old Style"/>
          <w:noProof/>
        </w:rPr>
        <w:t>culture</w:t>
      </w:r>
      <w:r w:rsidRPr="0004060E">
        <w:rPr>
          <w:rFonts w:ascii="Goudy Old Style" w:hAnsi="Goudy Old Style"/>
          <w:noProof/>
        </w:rPr>
        <w:t xml:space="preserve"> in the Lao People’s Democratic Republic. </w:t>
      </w:r>
      <w:r w:rsidR="002F70C4" w:rsidRPr="002F70C4">
        <w:rPr>
          <w:rFonts w:ascii="Goudy Old Style" w:hAnsi="Goudy Old Style"/>
          <w:i/>
          <w:noProof/>
          <w:lang w:val="id-ID"/>
        </w:rPr>
        <w:t xml:space="preserve">The </w:t>
      </w:r>
      <w:r w:rsidRPr="002F70C4">
        <w:rPr>
          <w:rFonts w:ascii="Goudy Old Style" w:hAnsi="Goudy Old Style"/>
          <w:i/>
          <w:noProof/>
        </w:rPr>
        <w:t>Am</w:t>
      </w:r>
      <w:r w:rsidR="002F70C4" w:rsidRPr="002F70C4">
        <w:rPr>
          <w:rFonts w:ascii="Goudy Old Style" w:hAnsi="Goudy Old Style"/>
          <w:i/>
          <w:noProof/>
          <w:lang w:val="id-ID"/>
        </w:rPr>
        <w:t xml:space="preserve">erican </w:t>
      </w:r>
      <w:r w:rsidRPr="002F70C4">
        <w:rPr>
          <w:rFonts w:ascii="Goudy Old Style" w:hAnsi="Goudy Old Style"/>
          <w:i/>
          <w:noProof/>
        </w:rPr>
        <w:t>J</w:t>
      </w:r>
      <w:r w:rsidR="002F70C4" w:rsidRPr="002F70C4">
        <w:rPr>
          <w:rFonts w:ascii="Goudy Old Style" w:hAnsi="Goudy Old Style"/>
          <w:i/>
          <w:noProof/>
          <w:lang w:val="id-ID"/>
        </w:rPr>
        <w:t xml:space="preserve">ournal of </w:t>
      </w:r>
      <w:r w:rsidRPr="002F70C4">
        <w:rPr>
          <w:rFonts w:ascii="Goudy Old Style" w:hAnsi="Goudy Old Style"/>
          <w:i/>
          <w:noProof/>
        </w:rPr>
        <w:t>Trop</w:t>
      </w:r>
      <w:r w:rsidR="002F70C4" w:rsidRPr="002F70C4">
        <w:rPr>
          <w:rFonts w:ascii="Goudy Old Style" w:hAnsi="Goudy Old Style"/>
          <w:i/>
          <w:noProof/>
          <w:lang w:val="id-ID"/>
        </w:rPr>
        <w:t xml:space="preserve">ical </w:t>
      </w:r>
      <w:r w:rsidRPr="002F70C4">
        <w:rPr>
          <w:rFonts w:ascii="Goudy Old Style" w:hAnsi="Goudy Old Style"/>
          <w:i/>
          <w:noProof/>
        </w:rPr>
        <w:t>Med</w:t>
      </w:r>
      <w:r w:rsidR="002F70C4" w:rsidRPr="002F70C4">
        <w:rPr>
          <w:rFonts w:ascii="Goudy Old Style" w:hAnsi="Goudy Old Style"/>
          <w:i/>
          <w:noProof/>
          <w:lang w:val="id-ID"/>
        </w:rPr>
        <w:t xml:space="preserve">icine and </w:t>
      </w:r>
      <w:r w:rsidRPr="002F70C4">
        <w:rPr>
          <w:rFonts w:ascii="Goudy Old Style" w:hAnsi="Goudy Old Style"/>
          <w:i/>
          <w:noProof/>
        </w:rPr>
        <w:t>Hyg</w:t>
      </w:r>
      <w:r w:rsidR="002F70C4" w:rsidRPr="002F70C4">
        <w:rPr>
          <w:rFonts w:ascii="Goudy Old Style" w:hAnsi="Goudy Old Style"/>
          <w:i/>
          <w:noProof/>
          <w:lang w:val="id-ID"/>
        </w:rPr>
        <w:t>iene</w:t>
      </w:r>
      <w:r w:rsidRPr="0004060E">
        <w:rPr>
          <w:rFonts w:ascii="Goudy Old Style" w:hAnsi="Goudy Old Style"/>
          <w:noProof/>
        </w:rPr>
        <w:t xml:space="preserve">. 2021;104(4):1582–5. </w:t>
      </w:r>
    </w:p>
    <w:p w14:paraId="01F02FB3" w14:textId="1B61221E" w:rsidR="00503777" w:rsidRPr="002F70C4" w:rsidRDefault="00503777" w:rsidP="00DE345A">
      <w:pPr>
        <w:widowControl w:val="0"/>
        <w:autoSpaceDE w:val="0"/>
        <w:autoSpaceDN w:val="0"/>
        <w:adjustRightInd w:val="0"/>
        <w:spacing w:before="120" w:after="120"/>
        <w:ind w:left="709" w:hanging="425"/>
        <w:jc w:val="both"/>
        <w:rPr>
          <w:rFonts w:ascii="Goudy Old Style" w:hAnsi="Goudy Old Style"/>
          <w:noProof/>
          <w:lang w:val="id-ID"/>
        </w:rPr>
      </w:pPr>
      <w:r w:rsidRPr="0004060E">
        <w:rPr>
          <w:rFonts w:ascii="Goudy Old Style" w:hAnsi="Goudy Old Style"/>
          <w:noProof/>
        </w:rPr>
        <w:t xml:space="preserve">16. </w:t>
      </w:r>
      <w:r w:rsidRPr="0004060E">
        <w:rPr>
          <w:rFonts w:ascii="Goudy Old Style" w:hAnsi="Goudy Old Style"/>
          <w:noProof/>
        </w:rPr>
        <w:tab/>
      </w:r>
      <w:r w:rsidR="002F70C4" w:rsidRPr="002F70C4">
        <w:rPr>
          <w:rFonts w:ascii="Goudy Old Style" w:hAnsi="Goudy Old Style"/>
          <w:noProof/>
        </w:rPr>
        <w:t>Kabi, A., Mohanty, A., Kumar, S. K.,</w:t>
      </w:r>
      <w:r w:rsidR="002F70C4">
        <w:rPr>
          <w:rFonts w:ascii="Goudy Old Style" w:hAnsi="Goudy Old Style"/>
          <w:noProof/>
        </w:rPr>
        <w:t xml:space="preserve"> Singh, V., Jha, M. K., </w:t>
      </w:r>
      <w:r w:rsidR="002F70C4">
        <w:rPr>
          <w:rFonts w:ascii="Goudy Old Style" w:hAnsi="Goudy Old Style"/>
          <w:noProof/>
          <w:lang w:val="id-ID"/>
        </w:rPr>
        <w:t>and</w:t>
      </w:r>
      <w:r w:rsidR="002F70C4">
        <w:rPr>
          <w:rFonts w:ascii="Goudy Old Style" w:hAnsi="Goudy Old Style"/>
          <w:noProof/>
        </w:rPr>
        <w:t xml:space="preserve"> Gupta</w:t>
      </w:r>
      <w:r w:rsidRPr="0004060E">
        <w:rPr>
          <w:rFonts w:ascii="Goudy Old Style" w:hAnsi="Goudy Old Style"/>
          <w:noProof/>
        </w:rPr>
        <w:t xml:space="preserve">. </w:t>
      </w:r>
      <w:r w:rsidR="002F70C4" w:rsidRPr="002F70C4">
        <w:rPr>
          <w:rFonts w:ascii="Goudy Old Style" w:hAnsi="Goudy Old Style"/>
          <w:noProof/>
        </w:rPr>
        <w:t>Clinical spectrum and risk factors for hospital-acquired septicemia in a tertiary care centre of North-East India</w:t>
      </w:r>
      <w:r w:rsidR="002F70C4">
        <w:rPr>
          <w:rFonts w:ascii="Goudy Old Style" w:hAnsi="Goudy Old Style"/>
          <w:noProof/>
          <w:lang w:val="id-ID"/>
        </w:rPr>
        <w:t xml:space="preserve">. </w:t>
      </w:r>
      <w:r w:rsidR="002F70C4">
        <w:rPr>
          <w:rFonts w:ascii="Goudy Old Style" w:hAnsi="Goudy Old Style"/>
          <w:noProof/>
        </w:rPr>
        <w:t xml:space="preserve"> </w:t>
      </w:r>
      <w:r w:rsidR="00F438BF" w:rsidRPr="00F438BF">
        <w:rPr>
          <w:rFonts w:ascii="Goudy Old Style" w:hAnsi="Goudy Old Style"/>
          <w:i/>
          <w:noProof/>
        </w:rPr>
        <w:t>Journal of Family Medicine and Primary Car</w:t>
      </w:r>
      <w:r w:rsidR="00F438BF" w:rsidRPr="00F438BF">
        <w:rPr>
          <w:rFonts w:ascii="Goudy Old Style" w:hAnsi="Goudy Old Style"/>
          <w:i/>
          <w:noProof/>
          <w:lang w:val="id-ID"/>
        </w:rPr>
        <w:t>e</w:t>
      </w:r>
      <w:r w:rsidR="00F438BF">
        <w:rPr>
          <w:rFonts w:ascii="Goudy Old Style" w:hAnsi="Goudy Old Style"/>
          <w:noProof/>
          <w:lang w:val="id-ID"/>
        </w:rPr>
        <w:t xml:space="preserve">. </w:t>
      </w:r>
      <w:r w:rsidR="002F70C4">
        <w:rPr>
          <w:rFonts w:ascii="Goudy Old Style" w:hAnsi="Goudy Old Style"/>
          <w:noProof/>
        </w:rPr>
        <w:t>2020</w:t>
      </w:r>
      <w:r w:rsidR="002F70C4">
        <w:rPr>
          <w:rFonts w:ascii="Goudy Old Style" w:hAnsi="Goudy Old Style"/>
          <w:noProof/>
          <w:lang w:val="id-ID"/>
        </w:rPr>
        <w:t>;9(8): 3949-54.</w:t>
      </w:r>
    </w:p>
    <w:p w14:paraId="7662A9FC" w14:textId="045B27C4" w:rsidR="00503777" w:rsidRPr="0004060E" w:rsidRDefault="00503777" w:rsidP="00DE345A">
      <w:pPr>
        <w:widowControl w:val="0"/>
        <w:autoSpaceDE w:val="0"/>
        <w:autoSpaceDN w:val="0"/>
        <w:adjustRightInd w:val="0"/>
        <w:spacing w:before="120" w:after="120"/>
        <w:ind w:left="709" w:hanging="425"/>
        <w:jc w:val="both"/>
        <w:rPr>
          <w:rFonts w:ascii="Goudy Old Style" w:hAnsi="Goudy Old Style"/>
          <w:noProof/>
        </w:rPr>
      </w:pPr>
      <w:r w:rsidRPr="0004060E">
        <w:rPr>
          <w:rFonts w:ascii="Goudy Old Style" w:hAnsi="Goudy Old Style"/>
          <w:noProof/>
        </w:rPr>
        <w:t xml:space="preserve">17. </w:t>
      </w:r>
      <w:r w:rsidRPr="0004060E">
        <w:rPr>
          <w:rFonts w:ascii="Goudy Old Style" w:hAnsi="Goudy Old Style"/>
          <w:noProof/>
        </w:rPr>
        <w:tab/>
        <w:t xml:space="preserve">Martínez ML, Plata-Menchaca EP, Ruiz-Rodríguez JC, Ferrer R. An approach to antibiotic treatment in patients with sepsis. </w:t>
      </w:r>
      <w:r w:rsidRPr="00F438BF">
        <w:rPr>
          <w:rFonts w:ascii="Goudy Old Style" w:hAnsi="Goudy Old Style"/>
          <w:i/>
          <w:noProof/>
        </w:rPr>
        <w:t>J</w:t>
      </w:r>
      <w:r w:rsidR="00F438BF" w:rsidRPr="00F438BF">
        <w:rPr>
          <w:rFonts w:ascii="Goudy Old Style" w:hAnsi="Goudy Old Style"/>
          <w:i/>
          <w:noProof/>
          <w:lang w:val="id-ID"/>
        </w:rPr>
        <w:t xml:space="preserve">ournal of </w:t>
      </w:r>
      <w:r w:rsidRPr="00F438BF">
        <w:rPr>
          <w:rFonts w:ascii="Goudy Old Style" w:hAnsi="Goudy Old Style"/>
          <w:i/>
          <w:noProof/>
        </w:rPr>
        <w:t>Thorac</w:t>
      </w:r>
      <w:r w:rsidR="00F438BF" w:rsidRPr="00F438BF">
        <w:rPr>
          <w:rFonts w:ascii="Goudy Old Style" w:hAnsi="Goudy Old Style"/>
          <w:i/>
          <w:noProof/>
          <w:lang w:val="id-ID"/>
        </w:rPr>
        <w:t>ic</w:t>
      </w:r>
      <w:r w:rsidRPr="00F438BF">
        <w:rPr>
          <w:rFonts w:ascii="Goudy Old Style" w:hAnsi="Goudy Old Style"/>
          <w:i/>
          <w:noProof/>
        </w:rPr>
        <w:t xml:space="preserve"> Dis</w:t>
      </w:r>
      <w:r w:rsidR="00F438BF" w:rsidRPr="00F438BF">
        <w:rPr>
          <w:rFonts w:ascii="Goudy Old Style" w:hAnsi="Goudy Old Style"/>
          <w:i/>
          <w:noProof/>
          <w:lang w:val="id-ID"/>
        </w:rPr>
        <w:t>ease</w:t>
      </w:r>
      <w:r w:rsidRPr="0004060E">
        <w:rPr>
          <w:rFonts w:ascii="Goudy Old Style" w:hAnsi="Goudy Old Style"/>
          <w:noProof/>
        </w:rPr>
        <w:t xml:space="preserve">. 2020;12(3):1007–21. </w:t>
      </w:r>
    </w:p>
    <w:p w14:paraId="42201F16" w14:textId="3F14C087" w:rsidR="00503777" w:rsidRPr="0004060E" w:rsidRDefault="00503777" w:rsidP="00DE345A">
      <w:pPr>
        <w:widowControl w:val="0"/>
        <w:autoSpaceDE w:val="0"/>
        <w:autoSpaceDN w:val="0"/>
        <w:adjustRightInd w:val="0"/>
        <w:spacing w:before="120" w:after="120"/>
        <w:ind w:left="709" w:hanging="425"/>
        <w:jc w:val="both"/>
        <w:rPr>
          <w:rFonts w:ascii="Goudy Old Style" w:hAnsi="Goudy Old Style"/>
          <w:noProof/>
        </w:rPr>
      </w:pPr>
      <w:r w:rsidRPr="0004060E">
        <w:rPr>
          <w:rFonts w:ascii="Goudy Old Style" w:hAnsi="Goudy Old Style"/>
          <w:noProof/>
        </w:rPr>
        <w:t xml:space="preserve">18. </w:t>
      </w:r>
      <w:r w:rsidRPr="0004060E">
        <w:rPr>
          <w:rFonts w:ascii="Goudy Old Style" w:hAnsi="Goudy Old Style"/>
          <w:noProof/>
        </w:rPr>
        <w:tab/>
        <w:t xml:space="preserve">Thorndike J, Kollef MH. </w:t>
      </w:r>
      <w:r w:rsidR="00CE07FD">
        <w:rPr>
          <w:rFonts w:ascii="Goudy Old Style" w:hAnsi="Goudy Old Style"/>
          <w:noProof/>
        </w:rPr>
        <w:t>Culture</w:t>
      </w:r>
      <w:r w:rsidRPr="0004060E">
        <w:rPr>
          <w:rFonts w:ascii="Goudy Old Style" w:hAnsi="Goudy Old Style"/>
          <w:noProof/>
        </w:rPr>
        <w:t xml:space="preserve">-negative sepsis. </w:t>
      </w:r>
      <w:r w:rsidRPr="00F438BF">
        <w:rPr>
          <w:rFonts w:ascii="Goudy Old Style" w:hAnsi="Goudy Old Style"/>
          <w:i/>
          <w:noProof/>
        </w:rPr>
        <w:t>Curr</w:t>
      </w:r>
      <w:r w:rsidR="00F438BF" w:rsidRPr="00F438BF">
        <w:rPr>
          <w:rFonts w:ascii="Goudy Old Style" w:hAnsi="Goudy Old Style"/>
          <w:i/>
          <w:noProof/>
          <w:lang w:val="id-ID"/>
        </w:rPr>
        <w:t xml:space="preserve">ent </w:t>
      </w:r>
      <w:r w:rsidRPr="00F438BF">
        <w:rPr>
          <w:rFonts w:ascii="Goudy Old Style" w:hAnsi="Goudy Old Style"/>
          <w:i/>
          <w:noProof/>
        </w:rPr>
        <w:t>Opin</w:t>
      </w:r>
      <w:r w:rsidR="00F438BF" w:rsidRPr="00F438BF">
        <w:rPr>
          <w:rFonts w:ascii="Goudy Old Style" w:hAnsi="Goudy Old Style"/>
          <w:i/>
          <w:noProof/>
          <w:lang w:val="id-ID"/>
        </w:rPr>
        <w:t xml:space="preserve">ion in </w:t>
      </w:r>
      <w:r w:rsidRPr="00F438BF">
        <w:rPr>
          <w:rFonts w:ascii="Goudy Old Style" w:hAnsi="Goudy Old Style"/>
          <w:i/>
          <w:noProof/>
        </w:rPr>
        <w:t>Crit</w:t>
      </w:r>
      <w:r w:rsidR="00F438BF" w:rsidRPr="00F438BF">
        <w:rPr>
          <w:rFonts w:ascii="Goudy Old Style" w:hAnsi="Goudy Old Style"/>
          <w:i/>
          <w:noProof/>
          <w:lang w:val="id-ID"/>
        </w:rPr>
        <w:t>ical</w:t>
      </w:r>
      <w:r w:rsidRPr="00F438BF">
        <w:rPr>
          <w:rFonts w:ascii="Goudy Old Style" w:hAnsi="Goudy Old Style"/>
          <w:i/>
          <w:noProof/>
        </w:rPr>
        <w:t xml:space="preserve"> Care</w:t>
      </w:r>
      <w:r w:rsidRPr="0004060E">
        <w:rPr>
          <w:rFonts w:ascii="Goudy Old Style" w:hAnsi="Goudy Old Style"/>
          <w:noProof/>
        </w:rPr>
        <w:t xml:space="preserve">. 2020;26(5):473–7. </w:t>
      </w:r>
    </w:p>
    <w:p w14:paraId="6555672E" w14:textId="0FA583AA" w:rsidR="00503777" w:rsidRPr="0004060E" w:rsidRDefault="00503777" w:rsidP="00DE345A">
      <w:pPr>
        <w:widowControl w:val="0"/>
        <w:autoSpaceDE w:val="0"/>
        <w:autoSpaceDN w:val="0"/>
        <w:adjustRightInd w:val="0"/>
        <w:spacing w:before="120" w:after="120"/>
        <w:ind w:left="709" w:hanging="425"/>
        <w:jc w:val="both"/>
        <w:rPr>
          <w:rFonts w:ascii="Goudy Old Style" w:hAnsi="Goudy Old Style"/>
          <w:noProof/>
        </w:rPr>
      </w:pPr>
      <w:r w:rsidRPr="0004060E">
        <w:rPr>
          <w:rFonts w:ascii="Goudy Old Style" w:hAnsi="Goudy Old Style"/>
          <w:noProof/>
        </w:rPr>
        <w:t xml:space="preserve">19. </w:t>
      </w:r>
      <w:r w:rsidRPr="0004060E">
        <w:rPr>
          <w:rFonts w:ascii="Goudy Old Style" w:hAnsi="Goudy Old Style"/>
          <w:noProof/>
        </w:rPr>
        <w:tab/>
        <w:t xml:space="preserve">Hirosawa T, Sakamoto T, Hanai S, Harada Y, Shimizu T. Effect of Prior Antibiotic Treatment on Blood </w:t>
      </w:r>
      <w:r w:rsidR="00CE07FD">
        <w:rPr>
          <w:rFonts w:ascii="Goudy Old Style" w:hAnsi="Goudy Old Style"/>
          <w:noProof/>
        </w:rPr>
        <w:t>Culture</w:t>
      </w:r>
      <w:r w:rsidRPr="0004060E">
        <w:rPr>
          <w:rFonts w:ascii="Goudy Old Style" w:hAnsi="Goudy Old Style"/>
          <w:noProof/>
        </w:rPr>
        <w:t xml:space="preserve"> in an Outpatient Department of General Internal Medicine: A Retrospective Case–Control Analysis. </w:t>
      </w:r>
      <w:r w:rsidRPr="00F438BF">
        <w:rPr>
          <w:rFonts w:ascii="Goudy Old Style" w:hAnsi="Goudy Old Style"/>
          <w:i/>
          <w:noProof/>
        </w:rPr>
        <w:t>Int</w:t>
      </w:r>
      <w:r w:rsidR="00F438BF" w:rsidRPr="00F438BF">
        <w:rPr>
          <w:rFonts w:ascii="Goudy Old Style" w:hAnsi="Goudy Old Style"/>
          <w:i/>
          <w:noProof/>
          <w:lang w:val="id-ID"/>
        </w:rPr>
        <w:t xml:space="preserve">ernational </w:t>
      </w:r>
      <w:r w:rsidRPr="00F438BF">
        <w:rPr>
          <w:rFonts w:ascii="Goudy Old Style" w:hAnsi="Goudy Old Style"/>
          <w:i/>
          <w:noProof/>
        </w:rPr>
        <w:t>J</w:t>
      </w:r>
      <w:r w:rsidR="00F438BF" w:rsidRPr="00F438BF">
        <w:rPr>
          <w:rFonts w:ascii="Goudy Old Style" w:hAnsi="Goudy Old Style"/>
          <w:i/>
          <w:noProof/>
          <w:lang w:val="id-ID"/>
        </w:rPr>
        <w:t xml:space="preserve">ournal of </w:t>
      </w:r>
      <w:r w:rsidRPr="00F438BF">
        <w:rPr>
          <w:rFonts w:ascii="Goudy Old Style" w:hAnsi="Goudy Old Style"/>
          <w:i/>
          <w:noProof/>
        </w:rPr>
        <w:t>Gen</w:t>
      </w:r>
      <w:r w:rsidR="00F438BF" w:rsidRPr="00F438BF">
        <w:rPr>
          <w:rFonts w:ascii="Goudy Old Style" w:hAnsi="Goudy Old Style"/>
          <w:i/>
          <w:noProof/>
          <w:lang w:val="id-ID"/>
        </w:rPr>
        <w:t xml:space="preserve">eral </w:t>
      </w:r>
      <w:r w:rsidRPr="00F438BF">
        <w:rPr>
          <w:rFonts w:ascii="Goudy Old Style" w:hAnsi="Goudy Old Style"/>
          <w:i/>
          <w:noProof/>
        </w:rPr>
        <w:t>Med</w:t>
      </w:r>
      <w:r w:rsidR="00F438BF" w:rsidRPr="00F438BF">
        <w:rPr>
          <w:rFonts w:ascii="Goudy Old Style" w:hAnsi="Goudy Old Style"/>
          <w:i/>
          <w:noProof/>
          <w:lang w:val="id-ID"/>
        </w:rPr>
        <w:t>icine</w:t>
      </w:r>
      <w:r w:rsidRPr="0004060E">
        <w:rPr>
          <w:rFonts w:ascii="Goudy Old Style" w:hAnsi="Goudy Old Style"/>
          <w:noProof/>
        </w:rPr>
        <w:t xml:space="preserve">. 2023;16(June):2709–17. </w:t>
      </w:r>
    </w:p>
    <w:p w14:paraId="186447E6" w14:textId="1299ED20" w:rsidR="00503777" w:rsidRPr="0004060E" w:rsidRDefault="00503777" w:rsidP="00DE345A">
      <w:pPr>
        <w:widowControl w:val="0"/>
        <w:autoSpaceDE w:val="0"/>
        <w:autoSpaceDN w:val="0"/>
        <w:adjustRightInd w:val="0"/>
        <w:spacing w:before="120" w:after="120"/>
        <w:ind w:left="709" w:hanging="425"/>
        <w:jc w:val="both"/>
        <w:rPr>
          <w:rFonts w:ascii="Goudy Old Style" w:hAnsi="Goudy Old Style"/>
          <w:noProof/>
        </w:rPr>
      </w:pPr>
      <w:r w:rsidRPr="0004060E">
        <w:rPr>
          <w:rFonts w:ascii="Goudy Old Style" w:hAnsi="Goudy Old Style"/>
          <w:noProof/>
        </w:rPr>
        <w:t xml:space="preserve">20. </w:t>
      </w:r>
      <w:r w:rsidRPr="0004060E">
        <w:rPr>
          <w:rFonts w:ascii="Goudy Old Style" w:hAnsi="Goudy Old Style"/>
          <w:noProof/>
        </w:rPr>
        <w:tab/>
        <w:t xml:space="preserve">Yang L, Lin Y, Wang J, Song J, Wei B, Zhang X, et al. Comparison of clinical characteristics and outcomes between positive and negative blood </w:t>
      </w:r>
      <w:r w:rsidR="00CE07FD">
        <w:rPr>
          <w:rFonts w:ascii="Goudy Old Style" w:hAnsi="Goudy Old Style"/>
          <w:noProof/>
        </w:rPr>
        <w:t>culture</w:t>
      </w:r>
      <w:r w:rsidRPr="0004060E">
        <w:rPr>
          <w:rFonts w:ascii="Goudy Old Style" w:hAnsi="Goudy Old Style"/>
          <w:noProof/>
        </w:rPr>
        <w:t xml:space="preserve"> septic patients: A retrospective cohort study. </w:t>
      </w:r>
      <w:r w:rsidRPr="00F438BF">
        <w:rPr>
          <w:rFonts w:ascii="Goudy Old Style" w:hAnsi="Goudy Old Style"/>
          <w:i/>
          <w:noProof/>
        </w:rPr>
        <w:t>Infect</w:t>
      </w:r>
      <w:r w:rsidR="00F438BF" w:rsidRPr="00F438BF">
        <w:rPr>
          <w:rFonts w:ascii="Goudy Old Style" w:hAnsi="Goudy Old Style"/>
          <w:i/>
          <w:noProof/>
          <w:lang w:val="id-ID"/>
        </w:rPr>
        <w:t xml:space="preserve">ion and </w:t>
      </w:r>
      <w:r w:rsidRPr="00F438BF">
        <w:rPr>
          <w:rFonts w:ascii="Goudy Old Style" w:hAnsi="Goudy Old Style"/>
          <w:i/>
          <w:noProof/>
        </w:rPr>
        <w:t>Drug Resist</w:t>
      </w:r>
      <w:r w:rsidR="00F438BF" w:rsidRPr="00F438BF">
        <w:rPr>
          <w:rFonts w:ascii="Goudy Old Style" w:hAnsi="Goudy Old Style"/>
          <w:i/>
          <w:noProof/>
          <w:lang w:val="id-ID"/>
        </w:rPr>
        <w:t>ance</w:t>
      </w:r>
      <w:r w:rsidRPr="0004060E">
        <w:rPr>
          <w:rFonts w:ascii="Goudy Old Style" w:hAnsi="Goudy Old Style"/>
          <w:noProof/>
        </w:rPr>
        <w:t xml:space="preserve">. 2021;14(October):4191–205. </w:t>
      </w:r>
    </w:p>
    <w:p w14:paraId="5A270384" w14:textId="3E7750E2" w:rsidR="00503777" w:rsidRPr="00DE345A" w:rsidRDefault="00503777" w:rsidP="00DE345A">
      <w:pPr>
        <w:widowControl w:val="0"/>
        <w:autoSpaceDE w:val="0"/>
        <w:autoSpaceDN w:val="0"/>
        <w:adjustRightInd w:val="0"/>
        <w:spacing w:before="120" w:after="120"/>
        <w:ind w:left="709" w:hanging="425"/>
        <w:jc w:val="both"/>
        <w:rPr>
          <w:rFonts w:ascii="Goudy Old Style" w:hAnsi="Goudy Old Style"/>
          <w:noProof/>
        </w:rPr>
      </w:pPr>
      <w:r w:rsidRPr="0004060E">
        <w:rPr>
          <w:rFonts w:ascii="Goudy Old Style" w:hAnsi="Goudy Old Style"/>
          <w:noProof/>
        </w:rPr>
        <w:t xml:space="preserve">21. </w:t>
      </w:r>
      <w:r w:rsidRPr="0004060E">
        <w:rPr>
          <w:rFonts w:ascii="Goudy Old Style" w:hAnsi="Goudy Old Style"/>
          <w:noProof/>
        </w:rPr>
        <w:tab/>
        <w:t xml:space="preserve">Strich JR, Heil EL, Masur H. Considerations for </w:t>
      </w:r>
      <w:r w:rsidR="00F438BF">
        <w:rPr>
          <w:rFonts w:ascii="Goudy Old Style" w:hAnsi="Goudy Old Style"/>
          <w:noProof/>
          <w:lang w:val="id-ID"/>
        </w:rPr>
        <w:t>E</w:t>
      </w:r>
      <w:r w:rsidRPr="0004060E">
        <w:rPr>
          <w:rFonts w:ascii="Goudy Old Style" w:hAnsi="Goudy Old Style"/>
          <w:noProof/>
        </w:rPr>
        <w:t xml:space="preserve">mpiric </w:t>
      </w:r>
      <w:r w:rsidR="00F438BF">
        <w:rPr>
          <w:rFonts w:ascii="Goudy Old Style" w:hAnsi="Goudy Old Style"/>
          <w:noProof/>
          <w:lang w:val="id-ID"/>
        </w:rPr>
        <w:t>A</w:t>
      </w:r>
      <w:r w:rsidRPr="0004060E">
        <w:rPr>
          <w:rFonts w:ascii="Goudy Old Style" w:hAnsi="Goudy Old Style"/>
          <w:noProof/>
        </w:rPr>
        <w:t xml:space="preserve">ntimicrobial </w:t>
      </w:r>
      <w:r w:rsidR="00F438BF">
        <w:rPr>
          <w:rFonts w:ascii="Goudy Old Style" w:hAnsi="Goudy Old Style"/>
          <w:noProof/>
          <w:lang w:val="id-ID"/>
        </w:rPr>
        <w:t>T</w:t>
      </w:r>
      <w:r w:rsidRPr="0004060E">
        <w:rPr>
          <w:rFonts w:ascii="Goudy Old Style" w:hAnsi="Goudy Old Style"/>
          <w:noProof/>
        </w:rPr>
        <w:t xml:space="preserve">herapy in </w:t>
      </w:r>
      <w:r w:rsidR="00F438BF">
        <w:rPr>
          <w:rFonts w:ascii="Goudy Old Style" w:hAnsi="Goudy Old Style"/>
          <w:noProof/>
          <w:lang w:val="id-ID"/>
        </w:rPr>
        <w:t>S</w:t>
      </w:r>
      <w:r w:rsidRPr="0004060E">
        <w:rPr>
          <w:rFonts w:ascii="Goudy Old Style" w:hAnsi="Goudy Old Style"/>
          <w:noProof/>
        </w:rPr>
        <w:t xml:space="preserve">epsis and </w:t>
      </w:r>
      <w:r w:rsidR="00F438BF">
        <w:rPr>
          <w:rFonts w:ascii="Goudy Old Style" w:hAnsi="Goudy Old Style"/>
          <w:noProof/>
          <w:lang w:val="id-ID"/>
        </w:rPr>
        <w:t>S</w:t>
      </w:r>
      <w:r w:rsidRPr="0004060E">
        <w:rPr>
          <w:rFonts w:ascii="Goudy Old Style" w:hAnsi="Goudy Old Style"/>
          <w:noProof/>
        </w:rPr>
        <w:t xml:space="preserve">eptic </w:t>
      </w:r>
      <w:r w:rsidR="00F438BF">
        <w:rPr>
          <w:rFonts w:ascii="Goudy Old Style" w:hAnsi="Goudy Old Style"/>
          <w:noProof/>
          <w:lang w:val="id-ID"/>
        </w:rPr>
        <w:t>S</w:t>
      </w:r>
      <w:r w:rsidRPr="0004060E">
        <w:rPr>
          <w:rFonts w:ascii="Goudy Old Style" w:hAnsi="Goudy Old Style"/>
          <w:noProof/>
        </w:rPr>
        <w:t xml:space="preserve">hock in an </w:t>
      </w:r>
      <w:r w:rsidR="00F438BF">
        <w:rPr>
          <w:rFonts w:ascii="Goudy Old Style" w:hAnsi="Goudy Old Style"/>
          <w:noProof/>
          <w:lang w:val="id-ID"/>
        </w:rPr>
        <w:t>E</w:t>
      </w:r>
      <w:r w:rsidRPr="0004060E">
        <w:rPr>
          <w:rFonts w:ascii="Goudy Old Style" w:hAnsi="Goudy Old Style"/>
          <w:noProof/>
        </w:rPr>
        <w:t xml:space="preserve">ra of </w:t>
      </w:r>
      <w:r w:rsidR="00F438BF">
        <w:rPr>
          <w:rFonts w:ascii="Goudy Old Style" w:hAnsi="Goudy Old Style"/>
          <w:noProof/>
          <w:lang w:val="id-ID"/>
        </w:rPr>
        <w:t>A</w:t>
      </w:r>
      <w:r w:rsidRPr="0004060E">
        <w:rPr>
          <w:rFonts w:ascii="Goudy Old Style" w:hAnsi="Goudy Old Style"/>
          <w:noProof/>
        </w:rPr>
        <w:t xml:space="preserve">ntimicrobial </w:t>
      </w:r>
      <w:r w:rsidR="00F438BF">
        <w:rPr>
          <w:rFonts w:ascii="Goudy Old Style" w:hAnsi="Goudy Old Style"/>
          <w:noProof/>
          <w:lang w:val="id-ID"/>
        </w:rPr>
        <w:t>R</w:t>
      </w:r>
      <w:r w:rsidRPr="0004060E">
        <w:rPr>
          <w:rFonts w:ascii="Goudy Old Style" w:hAnsi="Goudy Old Style"/>
          <w:noProof/>
        </w:rPr>
        <w:t>esistance.</w:t>
      </w:r>
      <w:r w:rsidR="00F438BF">
        <w:rPr>
          <w:rFonts w:ascii="Goudy Old Style" w:hAnsi="Goudy Old Style"/>
          <w:noProof/>
          <w:lang w:val="id-ID"/>
        </w:rPr>
        <w:t xml:space="preserve"> </w:t>
      </w:r>
      <w:r w:rsidR="00F438BF" w:rsidRPr="00F438BF">
        <w:rPr>
          <w:rFonts w:ascii="Goudy Old Style" w:hAnsi="Goudy Old Style"/>
          <w:i/>
          <w:noProof/>
          <w:lang w:val="id-ID"/>
        </w:rPr>
        <w:t>The Journal of</w:t>
      </w:r>
      <w:r w:rsidRPr="00F438BF">
        <w:rPr>
          <w:rFonts w:ascii="Goudy Old Style" w:hAnsi="Goudy Old Style"/>
          <w:i/>
          <w:noProof/>
        </w:rPr>
        <w:t xml:space="preserve"> Infect</w:t>
      </w:r>
      <w:r w:rsidR="00F438BF" w:rsidRPr="00F438BF">
        <w:rPr>
          <w:rFonts w:ascii="Goudy Old Style" w:hAnsi="Goudy Old Style"/>
          <w:i/>
          <w:noProof/>
          <w:lang w:val="id-ID"/>
        </w:rPr>
        <w:t xml:space="preserve">ious </w:t>
      </w:r>
      <w:r w:rsidRPr="00F438BF">
        <w:rPr>
          <w:rFonts w:ascii="Goudy Old Style" w:hAnsi="Goudy Old Style"/>
          <w:i/>
          <w:noProof/>
        </w:rPr>
        <w:t>Dis</w:t>
      </w:r>
      <w:r w:rsidR="00F438BF" w:rsidRPr="00F438BF">
        <w:rPr>
          <w:rFonts w:ascii="Goudy Old Style" w:hAnsi="Goudy Old Style"/>
          <w:i/>
          <w:noProof/>
          <w:lang w:val="id-ID"/>
        </w:rPr>
        <w:t>eases</w:t>
      </w:r>
      <w:r w:rsidRPr="0004060E">
        <w:rPr>
          <w:rFonts w:ascii="Goudy Old Style" w:hAnsi="Goudy Old Style"/>
          <w:noProof/>
        </w:rPr>
        <w:t>. 2021;222(Suppl 2):S119–31.</w:t>
      </w:r>
      <w:r w:rsidRPr="00DE345A">
        <w:rPr>
          <w:rFonts w:ascii="Goudy Old Style" w:hAnsi="Goudy Old Style"/>
          <w:noProof/>
        </w:rPr>
        <w:t xml:space="preserve"> </w:t>
      </w:r>
    </w:p>
    <w:p w14:paraId="48C86714" w14:textId="5FD5053D" w:rsidR="00C239A1" w:rsidRPr="00422DDB" w:rsidRDefault="008C04A8" w:rsidP="00DE345A">
      <w:pPr>
        <w:widowControl w:val="0"/>
        <w:autoSpaceDE w:val="0"/>
        <w:autoSpaceDN w:val="0"/>
        <w:adjustRightInd w:val="0"/>
        <w:spacing w:before="120" w:after="120"/>
        <w:ind w:left="709" w:hanging="425"/>
        <w:jc w:val="both"/>
        <w:rPr>
          <w:rFonts w:ascii="Goudy Old Style" w:hAnsi="Goudy Old Style"/>
          <w:b/>
          <w:bCs/>
        </w:rPr>
      </w:pPr>
      <w:r w:rsidRPr="00DE345A">
        <w:rPr>
          <w:rFonts w:ascii="Goudy Old Style" w:hAnsi="Goudy Old Style"/>
          <w:b/>
          <w:bCs/>
        </w:rPr>
        <w:fldChar w:fldCharType="end"/>
      </w:r>
    </w:p>
    <w:sectPr w:rsidR="00C239A1" w:rsidRPr="00422DDB" w:rsidSect="007E4A41">
      <w:type w:val="continuous"/>
      <w:pgSz w:w="11906" w:h="16838" w:code="9"/>
      <w:pgMar w:top="1440" w:right="1440" w:bottom="1440" w:left="1440" w:header="720" w:footer="720" w:gutter="0"/>
      <w:pgNumType w:start="1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4E412" w14:textId="77777777" w:rsidR="007E4A41" w:rsidRDefault="007E4A41" w:rsidP="00214444">
      <w:r>
        <w:separator/>
      </w:r>
    </w:p>
  </w:endnote>
  <w:endnote w:type="continuationSeparator" w:id="0">
    <w:p w14:paraId="34747B3A" w14:textId="77777777" w:rsidR="007E4A41" w:rsidRDefault="007E4A41" w:rsidP="00214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venir Lt BT">
    <w:altName w:val="Georg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Bahnschrift Light">
    <w:altName w:val="Segoe UI"/>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Std">
    <w:altName w:val="Cambria"/>
    <w:panose1 w:val="00000000000000000000"/>
    <w:charset w:val="00"/>
    <w:family w:val="roman"/>
    <w:notTrueType/>
    <w:pitch w:val="default"/>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442187"/>
      <w:docPartObj>
        <w:docPartGallery w:val="Page Numbers (Bottom of Page)"/>
        <w:docPartUnique/>
      </w:docPartObj>
    </w:sdtPr>
    <w:sdtContent>
      <w:p w14:paraId="5AC68637" w14:textId="1F55777F" w:rsidR="006C760B" w:rsidRDefault="006C760B">
        <w:pPr>
          <w:pStyle w:val="Footer"/>
          <w:jc w:val="right"/>
        </w:pPr>
        <w:r>
          <w:rPr>
            <w:rFonts w:ascii="Cambria"/>
            <w:color w:val="49442A"/>
            <w:sz w:val="20"/>
          </w:rPr>
          <w:t>Alami Journal.</w:t>
        </w:r>
        <w:r>
          <w:rPr>
            <w:rFonts w:ascii="Cambria"/>
            <w:color w:val="49442A"/>
            <w:spacing w:val="-3"/>
            <w:sz w:val="20"/>
          </w:rPr>
          <w:t xml:space="preserve"> </w:t>
        </w:r>
        <w:r>
          <w:rPr>
            <w:rFonts w:ascii="Cambria"/>
            <w:color w:val="49442A"/>
            <w:sz w:val="20"/>
          </w:rPr>
          <w:t xml:space="preserve">Vol </w:t>
        </w:r>
        <w:r w:rsidR="00831440">
          <w:rPr>
            <w:rFonts w:ascii="Cambria"/>
            <w:color w:val="49442A"/>
            <w:sz w:val="20"/>
          </w:rPr>
          <w:t>8</w:t>
        </w:r>
        <w:r>
          <w:rPr>
            <w:rFonts w:ascii="Cambria"/>
            <w:color w:val="49442A"/>
            <w:sz w:val="20"/>
          </w:rPr>
          <w:t>,</w:t>
        </w:r>
        <w:r>
          <w:rPr>
            <w:rFonts w:ascii="Cambria"/>
            <w:color w:val="49442A"/>
            <w:spacing w:val="-2"/>
            <w:sz w:val="20"/>
          </w:rPr>
          <w:t xml:space="preserve"> </w:t>
        </w:r>
        <w:r>
          <w:rPr>
            <w:rFonts w:ascii="Cambria"/>
            <w:color w:val="49442A"/>
            <w:sz w:val="20"/>
          </w:rPr>
          <w:t>No</w:t>
        </w:r>
        <w:r>
          <w:rPr>
            <w:rFonts w:ascii="Cambria"/>
            <w:color w:val="49442A"/>
            <w:spacing w:val="-2"/>
            <w:sz w:val="20"/>
          </w:rPr>
          <w:t xml:space="preserve"> </w:t>
        </w:r>
        <w:r w:rsidR="00831440">
          <w:rPr>
            <w:rFonts w:ascii="Cambria"/>
            <w:color w:val="49442A"/>
            <w:sz w:val="20"/>
          </w:rPr>
          <w:t>1</w:t>
        </w:r>
        <w:r>
          <w:rPr>
            <w:rFonts w:ascii="Cambria"/>
            <w:color w:val="49442A"/>
            <w:sz w:val="20"/>
          </w:rPr>
          <w:t xml:space="preserve">  (202</w:t>
        </w:r>
        <w:r w:rsidR="00831440">
          <w:rPr>
            <w:rFonts w:ascii="Cambria"/>
            <w:color w:val="49442A"/>
            <w:sz w:val="20"/>
          </w:rPr>
          <w:t>4</w:t>
        </w:r>
        <w:r>
          <w:rPr>
            <w:rFonts w:ascii="Cambria"/>
            <w:color w:val="49442A"/>
            <w:sz w:val="20"/>
          </w:rPr>
          <w:t>)</w:t>
        </w:r>
        <w:r>
          <w:rPr>
            <w:rFonts w:ascii="Cambria"/>
            <w:color w:val="49442A"/>
            <w:spacing w:val="-1"/>
            <w:sz w:val="20"/>
          </w:rPr>
          <w:t xml:space="preserve"> </w:t>
        </w:r>
        <w:r>
          <w:rPr>
            <w:rFonts w:ascii="Cambria"/>
            <w:color w:val="49442A"/>
            <w:sz w:val="20"/>
          </w:rPr>
          <w:t>hal.</w:t>
        </w:r>
        <w:r>
          <w:rPr>
            <w:rFonts w:ascii="Cambria"/>
            <w:color w:val="49442A"/>
            <w:spacing w:val="-3"/>
            <w:sz w:val="20"/>
          </w:rPr>
          <w:t xml:space="preserve"> </w:t>
        </w:r>
        <w:r>
          <w:rPr>
            <w:rFonts w:ascii="Cambria"/>
            <w:color w:val="49442A"/>
            <w:sz w:val="20"/>
            <w:lang w:val="en-US"/>
          </w:rPr>
          <w:t>1</w:t>
        </w:r>
        <w:r w:rsidR="00636B66">
          <w:rPr>
            <w:rFonts w:ascii="Cambria"/>
            <w:color w:val="49442A"/>
            <w:sz w:val="20"/>
            <w:lang w:val="en-US"/>
          </w:rPr>
          <w:t>7</w:t>
        </w:r>
        <w:r>
          <w:rPr>
            <w:rFonts w:ascii="Cambria"/>
            <w:color w:val="49442A"/>
            <w:sz w:val="20"/>
            <w:lang w:val="en-US"/>
          </w:rPr>
          <w:t>-2</w:t>
        </w:r>
        <w:r w:rsidR="00636B66">
          <w:rPr>
            <w:rFonts w:ascii="Cambria"/>
            <w:color w:val="49442A"/>
            <w:sz w:val="20"/>
            <w:lang w:val="en-US"/>
          </w:rPr>
          <w:t>3</w:t>
        </w:r>
        <w:r w:rsidRPr="00040AD8">
          <w:rPr>
            <w:rFonts w:ascii="Cambria" w:hAnsi="Cambria"/>
            <w:color w:val="3B3838" w:themeColor="background2" w:themeShade="40"/>
            <w:sz w:val="20"/>
            <w:szCs w:val="20"/>
          </w:rPr>
          <w:t xml:space="preserve"> </w:t>
        </w:r>
        <w:r w:rsidRPr="00040AD8">
          <w:rPr>
            <w:rFonts w:ascii="Cambria" w:hAnsi="Cambria"/>
            <w:sz w:val="20"/>
            <w:szCs w:val="20"/>
          </w:rPr>
          <w:t>|</w:t>
        </w:r>
        <w:r w:rsidRPr="006C760B">
          <w:rPr>
            <w:color w:val="3B3838" w:themeColor="background2" w:themeShade="40"/>
          </w:rPr>
          <w:t xml:space="preserve"> </w:t>
        </w:r>
        <w:r w:rsidRPr="006C760B">
          <w:rPr>
            <w:rFonts w:ascii="Cambria" w:hAnsi="Cambria"/>
            <w:color w:val="767171" w:themeColor="background2" w:themeShade="80"/>
            <w:sz w:val="20"/>
          </w:rPr>
          <w:fldChar w:fldCharType="begin"/>
        </w:r>
        <w:r w:rsidRPr="006C760B">
          <w:rPr>
            <w:rFonts w:ascii="Cambria" w:hAnsi="Cambria"/>
            <w:color w:val="767171" w:themeColor="background2" w:themeShade="80"/>
            <w:sz w:val="20"/>
          </w:rPr>
          <w:instrText xml:space="preserve"> PAGE   \* MERGEFORMAT </w:instrText>
        </w:r>
        <w:r w:rsidRPr="006C760B">
          <w:rPr>
            <w:rFonts w:ascii="Cambria" w:hAnsi="Cambria"/>
            <w:color w:val="767171" w:themeColor="background2" w:themeShade="80"/>
            <w:sz w:val="20"/>
          </w:rPr>
          <w:fldChar w:fldCharType="separate"/>
        </w:r>
        <w:r w:rsidR="001F52C0">
          <w:rPr>
            <w:rFonts w:ascii="Cambria" w:hAnsi="Cambria"/>
            <w:noProof/>
            <w:color w:val="767171" w:themeColor="background2" w:themeShade="80"/>
            <w:sz w:val="20"/>
          </w:rPr>
          <w:t>23</w:t>
        </w:r>
        <w:r w:rsidRPr="006C760B">
          <w:rPr>
            <w:rFonts w:ascii="Cambria" w:hAnsi="Cambria"/>
            <w:noProof/>
            <w:color w:val="767171" w:themeColor="background2" w:themeShade="80"/>
            <w:sz w:val="20"/>
          </w:rPr>
          <w:fldChar w:fldCharType="end"/>
        </w:r>
        <w:r w:rsidRPr="006C760B">
          <w:rPr>
            <w:color w:val="767171" w:themeColor="background2" w:themeShade="80"/>
          </w:rPr>
          <w:t xml:space="preserve"> </w:t>
        </w:r>
      </w:p>
    </w:sdtContent>
  </w:sdt>
  <w:p w14:paraId="3BC0E50A" w14:textId="77777777" w:rsidR="006C760B" w:rsidRDefault="006C76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66F5F" w14:textId="77777777" w:rsidR="007E4A41" w:rsidRDefault="007E4A41" w:rsidP="00214444">
      <w:r>
        <w:separator/>
      </w:r>
    </w:p>
  </w:footnote>
  <w:footnote w:type="continuationSeparator" w:id="0">
    <w:p w14:paraId="5CDC5760" w14:textId="77777777" w:rsidR="007E4A41" w:rsidRDefault="007E4A41" w:rsidP="002144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54BCD"/>
    <w:multiLevelType w:val="multilevel"/>
    <w:tmpl w:val="5E381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A63099"/>
    <w:multiLevelType w:val="hybridMultilevel"/>
    <w:tmpl w:val="4C6C2058"/>
    <w:lvl w:ilvl="0" w:tplc="6F64D030">
      <w:start w:val="6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8F78CA"/>
    <w:multiLevelType w:val="hybridMultilevel"/>
    <w:tmpl w:val="45704FC2"/>
    <w:lvl w:ilvl="0" w:tplc="0320615A">
      <w:start w:val="1"/>
      <w:numFmt w:val="decimal"/>
      <w:lvlText w:val="%1."/>
      <w:lvlJc w:val="left"/>
      <w:pPr>
        <w:ind w:left="480" w:hanging="360"/>
      </w:pPr>
      <w:rPr>
        <w:rFonts w:hint="default"/>
        <w:color w:val="000000"/>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 w15:restartNumberingAfterBreak="0">
    <w:nsid w:val="2B482FCA"/>
    <w:multiLevelType w:val="hybridMultilevel"/>
    <w:tmpl w:val="4A285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8C14A1"/>
    <w:multiLevelType w:val="multilevel"/>
    <w:tmpl w:val="472CB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B25FB7"/>
    <w:multiLevelType w:val="hybridMultilevel"/>
    <w:tmpl w:val="97A89544"/>
    <w:lvl w:ilvl="0" w:tplc="C4685DC4">
      <w:start w:val="1"/>
      <w:numFmt w:val="bullet"/>
      <w:lvlText w:val="•"/>
      <w:lvlJc w:val="left"/>
      <w:pPr>
        <w:tabs>
          <w:tab w:val="num" w:pos="720"/>
        </w:tabs>
        <w:ind w:left="720" w:hanging="360"/>
      </w:pPr>
      <w:rPr>
        <w:rFonts w:ascii="Arial" w:hAnsi="Arial" w:hint="default"/>
      </w:rPr>
    </w:lvl>
    <w:lvl w:ilvl="1" w:tplc="8AD0D632" w:tentative="1">
      <w:start w:val="1"/>
      <w:numFmt w:val="bullet"/>
      <w:lvlText w:val="•"/>
      <w:lvlJc w:val="left"/>
      <w:pPr>
        <w:tabs>
          <w:tab w:val="num" w:pos="1440"/>
        </w:tabs>
        <w:ind w:left="1440" w:hanging="360"/>
      </w:pPr>
      <w:rPr>
        <w:rFonts w:ascii="Arial" w:hAnsi="Arial" w:hint="default"/>
      </w:rPr>
    </w:lvl>
    <w:lvl w:ilvl="2" w:tplc="C9660980" w:tentative="1">
      <w:start w:val="1"/>
      <w:numFmt w:val="bullet"/>
      <w:lvlText w:val="•"/>
      <w:lvlJc w:val="left"/>
      <w:pPr>
        <w:tabs>
          <w:tab w:val="num" w:pos="2160"/>
        </w:tabs>
        <w:ind w:left="2160" w:hanging="360"/>
      </w:pPr>
      <w:rPr>
        <w:rFonts w:ascii="Arial" w:hAnsi="Arial" w:hint="default"/>
      </w:rPr>
    </w:lvl>
    <w:lvl w:ilvl="3" w:tplc="E04C4DAA" w:tentative="1">
      <w:start w:val="1"/>
      <w:numFmt w:val="bullet"/>
      <w:lvlText w:val="•"/>
      <w:lvlJc w:val="left"/>
      <w:pPr>
        <w:tabs>
          <w:tab w:val="num" w:pos="2880"/>
        </w:tabs>
        <w:ind w:left="2880" w:hanging="360"/>
      </w:pPr>
      <w:rPr>
        <w:rFonts w:ascii="Arial" w:hAnsi="Arial" w:hint="default"/>
      </w:rPr>
    </w:lvl>
    <w:lvl w:ilvl="4" w:tplc="DB2E2B1C" w:tentative="1">
      <w:start w:val="1"/>
      <w:numFmt w:val="bullet"/>
      <w:lvlText w:val="•"/>
      <w:lvlJc w:val="left"/>
      <w:pPr>
        <w:tabs>
          <w:tab w:val="num" w:pos="3600"/>
        </w:tabs>
        <w:ind w:left="3600" w:hanging="360"/>
      </w:pPr>
      <w:rPr>
        <w:rFonts w:ascii="Arial" w:hAnsi="Arial" w:hint="default"/>
      </w:rPr>
    </w:lvl>
    <w:lvl w:ilvl="5" w:tplc="460EFEA0" w:tentative="1">
      <w:start w:val="1"/>
      <w:numFmt w:val="bullet"/>
      <w:lvlText w:val="•"/>
      <w:lvlJc w:val="left"/>
      <w:pPr>
        <w:tabs>
          <w:tab w:val="num" w:pos="4320"/>
        </w:tabs>
        <w:ind w:left="4320" w:hanging="360"/>
      </w:pPr>
      <w:rPr>
        <w:rFonts w:ascii="Arial" w:hAnsi="Arial" w:hint="default"/>
      </w:rPr>
    </w:lvl>
    <w:lvl w:ilvl="6" w:tplc="C630C8C8" w:tentative="1">
      <w:start w:val="1"/>
      <w:numFmt w:val="bullet"/>
      <w:lvlText w:val="•"/>
      <w:lvlJc w:val="left"/>
      <w:pPr>
        <w:tabs>
          <w:tab w:val="num" w:pos="5040"/>
        </w:tabs>
        <w:ind w:left="5040" w:hanging="360"/>
      </w:pPr>
      <w:rPr>
        <w:rFonts w:ascii="Arial" w:hAnsi="Arial" w:hint="default"/>
      </w:rPr>
    </w:lvl>
    <w:lvl w:ilvl="7" w:tplc="337A3500" w:tentative="1">
      <w:start w:val="1"/>
      <w:numFmt w:val="bullet"/>
      <w:lvlText w:val="•"/>
      <w:lvlJc w:val="left"/>
      <w:pPr>
        <w:tabs>
          <w:tab w:val="num" w:pos="5760"/>
        </w:tabs>
        <w:ind w:left="5760" w:hanging="360"/>
      </w:pPr>
      <w:rPr>
        <w:rFonts w:ascii="Arial" w:hAnsi="Arial" w:hint="default"/>
      </w:rPr>
    </w:lvl>
    <w:lvl w:ilvl="8" w:tplc="8E8282C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3BD5F7F"/>
    <w:multiLevelType w:val="multilevel"/>
    <w:tmpl w:val="8AF45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C27691"/>
    <w:multiLevelType w:val="hybridMultilevel"/>
    <w:tmpl w:val="C32E6BDE"/>
    <w:lvl w:ilvl="0" w:tplc="AACE12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7D6A65"/>
    <w:multiLevelType w:val="hybridMultilevel"/>
    <w:tmpl w:val="B5B0B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5E00C9"/>
    <w:multiLevelType w:val="hybridMultilevel"/>
    <w:tmpl w:val="AF443968"/>
    <w:lvl w:ilvl="0" w:tplc="921A9432">
      <w:start w:val="1"/>
      <w:numFmt w:val="bullet"/>
      <w:lvlText w:val="•"/>
      <w:lvlJc w:val="left"/>
      <w:pPr>
        <w:tabs>
          <w:tab w:val="num" w:pos="720"/>
        </w:tabs>
        <w:ind w:left="720" w:hanging="360"/>
      </w:pPr>
      <w:rPr>
        <w:rFonts w:ascii="Arial" w:hAnsi="Arial" w:hint="default"/>
      </w:rPr>
    </w:lvl>
    <w:lvl w:ilvl="1" w:tplc="C748A670" w:tentative="1">
      <w:start w:val="1"/>
      <w:numFmt w:val="bullet"/>
      <w:lvlText w:val="•"/>
      <w:lvlJc w:val="left"/>
      <w:pPr>
        <w:tabs>
          <w:tab w:val="num" w:pos="1440"/>
        </w:tabs>
        <w:ind w:left="1440" w:hanging="360"/>
      </w:pPr>
      <w:rPr>
        <w:rFonts w:ascii="Arial" w:hAnsi="Arial" w:hint="default"/>
      </w:rPr>
    </w:lvl>
    <w:lvl w:ilvl="2" w:tplc="C7268AAA" w:tentative="1">
      <w:start w:val="1"/>
      <w:numFmt w:val="bullet"/>
      <w:lvlText w:val="•"/>
      <w:lvlJc w:val="left"/>
      <w:pPr>
        <w:tabs>
          <w:tab w:val="num" w:pos="2160"/>
        </w:tabs>
        <w:ind w:left="2160" w:hanging="360"/>
      </w:pPr>
      <w:rPr>
        <w:rFonts w:ascii="Arial" w:hAnsi="Arial" w:hint="default"/>
      </w:rPr>
    </w:lvl>
    <w:lvl w:ilvl="3" w:tplc="FFE231BA" w:tentative="1">
      <w:start w:val="1"/>
      <w:numFmt w:val="bullet"/>
      <w:lvlText w:val="•"/>
      <w:lvlJc w:val="left"/>
      <w:pPr>
        <w:tabs>
          <w:tab w:val="num" w:pos="2880"/>
        </w:tabs>
        <w:ind w:left="2880" w:hanging="360"/>
      </w:pPr>
      <w:rPr>
        <w:rFonts w:ascii="Arial" w:hAnsi="Arial" w:hint="default"/>
      </w:rPr>
    </w:lvl>
    <w:lvl w:ilvl="4" w:tplc="F73E9ACA" w:tentative="1">
      <w:start w:val="1"/>
      <w:numFmt w:val="bullet"/>
      <w:lvlText w:val="•"/>
      <w:lvlJc w:val="left"/>
      <w:pPr>
        <w:tabs>
          <w:tab w:val="num" w:pos="3600"/>
        </w:tabs>
        <w:ind w:left="3600" w:hanging="360"/>
      </w:pPr>
      <w:rPr>
        <w:rFonts w:ascii="Arial" w:hAnsi="Arial" w:hint="default"/>
      </w:rPr>
    </w:lvl>
    <w:lvl w:ilvl="5" w:tplc="B48CF7FC" w:tentative="1">
      <w:start w:val="1"/>
      <w:numFmt w:val="bullet"/>
      <w:lvlText w:val="•"/>
      <w:lvlJc w:val="left"/>
      <w:pPr>
        <w:tabs>
          <w:tab w:val="num" w:pos="4320"/>
        </w:tabs>
        <w:ind w:left="4320" w:hanging="360"/>
      </w:pPr>
      <w:rPr>
        <w:rFonts w:ascii="Arial" w:hAnsi="Arial" w:hint="default"/>
      </w:rPr>
    </w:lvl>
    <w:lvl w:ilvl="6" w:tplc="1326FE92" w:tentative="1">
      <w:start w:val="1"/>
      <w:numFmt w:val="bullet"/>
      <w:lvlText w:val="•"/>
      <w:lvlJc w:val="left"/>
      <w:pPr>
        <w:tabs>
          <w:tab w:val="num" w:pos="5040"/>
        </w:tabs>
        <w:ind w:left="5040" w:hanging="360"/>
      </w:pPr>
      <w:rPr>
        <w:rFonts w:ascii="Arial" w:hAnsi="Arial" w:hint="default"/>
      </w:rPr>
    </w:lvl>
    <w:lvl w:ilvl="7" w:tplc="B57A9222" w:tentative="1">
      <w:start w:val="1"/>
      <w:numFmt w:val="bullet"/>
      <w:lvlText w:val="•"/>
      <w:lvlJc w:val="left"/>
      <w:pPr>
        <w:tabs>
          <w:tab w:val="num" w:pos="5760"/>
        </w:tabs>
        <w:ind w:left="5760" w:hanging="360"/>
      </w:pPr>
      <w:rPr>
        <w:rFonts w:ascii="Arial" w:hAnsi="Arial" w:hint="default"/>
      </w:rPr>
    </w:lvl>
    <w:lvl w:ilvl="8" w:tplc="BC0A3C0C" w:tentative="1">
      <w:start w:val="1"/>
      <w:numFmt w:val="bullet"/>
      <w:lvlText w:val="•"/>
      <w:lvlJc w:val="left"/>
      <w:pPr>
        <w:tabs>
          <w:tab w:val="num" w:pos="6480"/>
        </w:tabs>
        <w:ind w:left="6480" w:hanging="360"/>
      </w:pPr>
      <w:rPr>
        <w:rFonts w:ascii="Arial" w:hAnsi="Arial" w:hint="default"/>
      </w:rPr>
    </w:lvl>
  </w:abstractNum>
  <w:num w:numId="1" w16cid:durableId="652219112">
    <w:abstractNumId w:val="3"/>
  </w:num>
  <w:num w:numId="2" w16cid:durableId="82730463">
    <w:abstractNumId w:val="8"/>
  </w:num>
  <w:num w:numId="3" w16cid:durableId="814906938">
    <w:abstractNumId w:val="1"/>
  </w:num>
  <w:num w:numId="4" w16cid:durableId="1995136715">
    <w:abstractNumId w:val="9"/>
  </w:num>
  <w:num w:numId="5" w16cid:durableId="1299535454">
    <w:abstractNumId w:val="5"/>
  </w:num>
  <w:num w:numId="6" w16cid:durableId="1855219255">
    <w:abstractNumId w:val="4"/>
  </w:num>
  <w:num w:numId="7" w16cid:durableId="369110827">
    <w:abstractNumId w:val="6"/>
  </w:num>
  <w:num w:numId="8" w16cid:durableId="1235506657">
    <w:abstractNumId w:val="0"/>
  </w:num>
  <w:num w:numId="9" w16cid:durableId="970744915">
    <w:abstractNumId w:val="2"/>
  </w:num>
  <w:num w:numId="10" w16cid:durableId="12825692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5B77"/>
    <w:rsid w:val="00006174"/>
    <w:rsid w:val="0003070E"/>
    <w:rsid w:val="0004060E"/>
    <w:rsid w:val="000458E1"/>
    <w:rsid w:val="00051CD0"/>
    <w:rsid w:val="000535C7"/>
    <w:rsid w:val="00053787"/>
    <w:rsid w:val="000562A1"/>
    <w:rsid w:val="00056634"/>
    <w:rsid w:val="00073288"/>
    <w:rsid w:val="000764BB"/>
    <w:rsid w:val="000776B8"/>
    <w:rsid w:val="00077C8A"/>
    <w:rsid w:val="00080BD8"/>
    <w:rsid w:val="00084620"/>
    <w:rsid w:val="00085AD1"/>
    <w:rsid w:val="000909DD"/>
    <w:rsid w:val="0009456A"/>
    <w:rsid w:val="000A3428"/>
    <w:rsid w:val="000A49B9"/>
    <w:rsid w:val="000A5A86"/>
    <w:rsid w:val="000A7C1D"/>
    <w:rsid w:val="000B4127"/>
    <w:rsid w:val="000B4C68"/>
    <w:rsid w:val="000C40AD"/>
    <w:rsid w:val="000F40C1"/>
    <w:rsid w:val="000F69A1"/>
    <w:rsid w:val="00105FC5"/>
    <w:rsid w:val="001137C4"/>
    <w:rsid w:val="00114957"/>
    <w:rsid w:val="0011626C"/>
    <w:rsid w:val="00133869"/>
    <w:rsid w:val="001568B7"/>
    <w:rsid w:val="0016404F"/>
    <w:rsid w:val="00172A8D"/>
    <w:rsid w:val="00186FEB"/>
    <w:rsid w:val="00187268"/>
    <w:rsid w:val="00192C95"/>
    <w:rsid w:val="00196D09"/>
    <w:rsid w:val="001A4986"/>
    <w:rsid w:val="001A4FE4"/>
    <w:rsid w:val="001A68FA"/>
    <w:rsid w:val="001B0BDA"/>
    <w:rsid w:val="001C23E9"/>
    <w:rsid w:val="001C7B1D"/>
    <w:rsid w:val="001E208E"/>
    <w:rsid w:val="001E6A3B"/>
    <w:rsid w:val="001E731A"/>
    <w:rsid w:val="001E78A1"/>
    <w:rsid w:val="001F2AA7"/>
    <w:rsid w:val="001F5045"/>
    <w:rsid w:val="001F52C0"/>
    <w:rsid w:val="001F7446"/>
    <w:rsid w:val="001F783A"/>
    <w:rsid w:val="00201420"/>
    <w:rsid w:val="002036B0"/>
    <w:rsid w:val="00206259"/>
    <w:rsid w:val="00213B55"/>
    <w:rsid w:val="00214444"/>
    <w:rsid w:val="00221235"/>
    <w:rsid w:val="0023764C"/>
    <w:rsid w:val="00240E82"/>
    <w:rsid w:val="00243984"/>
    <w:rsid w:val="00250DF3"/>
    <w:rsid w:val="002510B4"/>
    <w:rsid w:val="00256B71"/>
    <w:rsid w:val="00260C76"/>
    <w:rsid w:val="002866D7"/>
    <w:rsid w:val="00287E1B"/>
    <w:rsid w:val="00291F5C"/>
    <w:rsid w:val="002A07A7"/>
    <w:rsid w:val="002A3E25"/>
    <w:rsid w:val="002A7042"/>
    <w:rsid w:val="002A7ACF"/>
    <w:rsid w:val="002C0265"/>
    <w:rsid w:val="002C3F5D"/>
    <w:rsid w:val="002C5198"/>
    <w:rsid w:val="002C74ED"/>
    <w:rsid w:val="002E60F7"/>
    <w:rsid w:val="002F70C4"/>
    <w:rsid w:val="00312315"/>
    <w:rsid w:val="00316350"/>
    <w:rsid w:val="00316877"/>
    <w:rsid w:val="00324413"/>
    <w:rsid w:val="00335765"/>
    <w:rsid w:val="00343521"/>
    <w:rsid w:val="00345181"/>
    <w:rsid w:val="003500B9"/>
    <w:rsid w:val="0035047E"/>
    <w:rsid w:val="00352FD5"/>
    <w:rsid w:val="003549A6"/>
    <w:rsid w:val="00362DB2"/>
    <w:rsid w:val="003749E2"/>
    <w:rsid w:val="00385760"/>
    <w:rsid w:val="00394156"/>
    <w:rsid w:val="003B1A1A"/>
    <w:rsid w:val="003C02C6"/>
    <w:rsid w:val="003C30EA"/>
    <w:rsid w:val="003D7C64"/>
    <w:rsid w:val="003E0736"/>
    <w:rsid w:val="003E2A49"/>
    <w:rsid w:val="003E56BD"/>
    <w:rsid w:val="003E7055"/>
    <w:rsid w:val="003F43D2"/>
    <w:rsid w:val="00422DDB"/>
    <w:rsid w:val="0042762A"/>
    <w:rsid w:val="00440490"/>
    <w:rsid w:val="00441C6B"/>
    <w:rsid w:val="00442107"/>
    <w:rsid w:val="0044283E"/>
    <w:rsid w:val="0046340A"/>
    <w:rsid w:val="00470777"/>
    <w:rsid w:val="004714B9"/>
    <w:rsid w:val="00487173"/>
    <w:rsid w:val="00490F50"/>
    <w:rsid w:val="0049530F"/>
    <w:rsid w:val="00496DF9"/>
    <w:rsid w:val="004B1124"/>
    <w:rsid w:val="004B60D8"/>
    <w:rsid w:val="004D4ED3"/>
    <w:rsid w:val="004D57F4"/>
    <w:rsid w:val="004E01D6"/>
    <w:rsid w:val="004E65A2"/>
    <w:rsid w:val="004F0067"/>
    <w:rsid w:val="004F1A6E"/>
    <w:rsid w:val="004F4BA8"/>
    <w:rsid w:val="005010EA"/>
    <w:rsid w:val="00502B27"/>
    <w:rsid w:val="00503777"/>
    <w:rsid w:val="0050613C"/>
    <w:rsid w:val="00515902"/>
    <w:rsid w:val="005215A8"/>
    <w:rsid w:val="00547032"/>
    <w:rsid w:val="00551AA8"/>
    <w:rsid w:val="00555940"/>
    <w:rsid w:val="005615BE"/>
    <w:rsid w:val="00570029"/>
    <w:rsid w:val="005728D8"/>
    <w:rsid w:val="005807DA"/>
    <w:rsid w:val="005826DB"/>
    <w:rsid w:val="00596827"/>
    <w:rsid w:val="005B0796"/>
    <w:rsid w:val="005B3010"/>
    <w:rsid w:val="005C6AB4"/>
    <w:rsid w:val="005D0BD5"/>
    <w:rsid w:val="005D59C0"/>
    <w:rsid w:val="005D653B"/>
    <w:rsid w:val="005D6B69"/>
    <w:rsid w:val="005E5BD9"/>
    <w:rsid w:val="005E7094"/>
    <w:rsid w:val="005F0DDB"/>
    <w:rsid w:val="005F5331"/>
    <w:rsid w:val="005F572D"/>
    <w:rsid w:val="00601442"/>
    <w:rsid w:val="00636B66"/>
    <w:rsid w:val="00636BDF"/>
    <w:rsid w:val="00645482"/>
    <w:rsid w:val="00651192"/>
    <w:rsid w:val="00652131"/>
    <w:rsid w:val="00653AEA"/>
    <w:rsid w:val="00672A6F"/>
    <w:rsid w:val="00677631"/>
    <w:rsid w:val="00681748"/>
    <w:rsid w:val="00692E0C"/>
    <w:rsid w:val="00694E19"/>
    <w:rsid w:val="006A30CC"/>
    <w:rsid w:val="006A709D"/>
    <w:rsid w:val="006B2601"/>
    <w:rsid w:val="006C33A5"/>
    <w:rsid w:val="006C5CBE"/>
    <w:rsid w:val="006C760B"/>
    <w:rsid w:val="006D2B6E"/>
    <w:rsid w:val="006D3EE2"/>
    <w:rsid w:val="006D3EFC"/>
    <w:rsid w:val="006D7F60"/>
    <w:rsid w:val="006E0065"/>
    <w:rsid w:val="006E4C00"/>
    <w:rsid w:val="006F427E"/>
    <w:rsid w:val="00707E08"/>
    <w:rsid w:val="00710C54"/>
    <w:rsid w:val="00710CF1"/>
    <w:rsid w:val="00720BFB"/>
    <w:rsid w:val="007362EF"/>
    <w:rsid w:val="007506B5"/>
    <w:rsid w:val="007513EB"/>
    <w:rsid w:val="007532F5"/>
    <w:rsid w:val="00754372"/>
    <w:rsid w:val="007546BC"/>
    <w:rsid w:val="007556CC"/>
    <w:rsid w:val="007606F9"/>
    <w:rsid w:val="0078600E"/>
    <w:rsid w:val="007A1324"/>
    <w:rsid w:val="007C0658"/>
    <w:rsid w:val="007C0B8D"/>
    <w:rsid w:val="007C4E35"/>
    <w:rsid w:val="007C514C"/>
    <w:rsid w:val="007C55BD"/>
    <w:rsid w:val="007D2B04"/>
    <w:rsid w:val="007D33D9"/>
    <w:rsid w:val="007D3DEE"/>
    <w:rsid w:val="007E30A7"/>
    <w:rsid w:val="007E4A41"/>
    <w:rsid w:val="007E5F4E"/>
    <w:rsid w:val="007F2133"/>
    <w:rsid w:val="008033D6"/>
    <w:rsid w:val="00804FA0"/>
    <w:rsid w:val="00826CD9"/>
    <w:rsid w:val="00826E4C"/>
    <w:rsid w:val="00827DC7"/>
    <w:rsid w:val="00831040"/>
    <w:rsid w:val="00831440"/>
    <w:rsid w:val="00853F6E"/>
    <w:rsid w:val="00856E4D"/>
    <w:rsid w:val="00864105"/>
    <w:rsid w:val="00884002"/>
    <w:rsid w:val="00887337"/>
    <w:rsid w:val="00887B12"/>
    <w:rsid w:val="0089640A"/>
    <w:rsid w:val="00896D8B"/>
    <w:rsid w:val="008A024D"/>
    <w:rsid w:val="008A11E8"/>
    <w:rsid w:val="008A50A9"/>
    <w:rsid w:val="008A6447"/>
    <w:rsid w:val="008C04A8"/>
    <w:rsid w:val="008D14E8"/>
    <w:rsid w:val="008F37D5"/>
    <w:rsid w:val="008F7B04"/>
    <w:rsid w:val="009026BE"/>
    <w:rsid w:val="009029B7"/>
    <w:rsid w:val="00904B10"/>
    <w:rsid w:val="00910104"/>
    <w:rsid w:val="009144BA"/>
    <w:rsid w:val="00916E11"/>
    <w:rsid w:val="009237F8"/>
    <w:rsid w:val="0093545E"/>
    <w:rsid w:val="00936F3A"/>
    <w:rsid w:val="00954F24"/>
    <w:rsid w:val="00956DD4"/>
    <w:rsid w:val="00961C85"/>
    <w:rsid w:val="009626B1"/>
    <w:rsid w:val="009646A1"/>
    <w:rsid w:val="00966C77"/>
    <w:rsid w:val="00967EA5"/>
    <w:rsid w:val="00972E2E"/>
    <w:rsid w:val="00976321"/>
    <w:rsid w:val="00976CB2"/>
    <w:rsid w:val="009771F9"/>
    <w:rsid w:val="0098794B"/>
    <w:rsid w:val="009966F0"/>
    <w:rsid w:val="009A30EC"/>
    <w:rsid w:val="009B60BF"/>
    <w:rsid w:val="009C29CF"/>
    <w:rsid w:val="009D1359"/>
    <w:rsid w:val="009D2A34"/>
    <w:rsid w:val="009D62D0"/>
    <w:rsid w:val="009E0004"/>
    <w:rsid w:val="009F582A"/>
    <w:rsid w:val="00A00DBB"/>
    <w:rsid w:val="00A01BCC"/>
    <w:rsid w:val="00A07D63"/>
    <w:rsid w:val="00A13A8E"/>
    <w:rsid w:val="00A14846"/>
    <w:rsid w:val="00A322EC"/>
    <w:rsid w:val="00A531EB"/>
    <w:rsid w:val="00A719D6"/>
    <w:rsid w:val="00A71DC2"/>
    <w:rsid w:val="00A77C83"/>
    <w:rsid w:val="00A83F81"/>
    <w:rsid w:val="00A905AE"/>
    <w:rsid w:val="00AB5238"/>
    <w:rsid w:val="00AB5B47"/>
    <w:rsid w:val="00AB6D11"/>
    <w:rsid w:val="00AB76AA"/>
    <w:rsid w:val="00AC5837"/>
    <w:rsid w:val="00AD1453"/>
    <w:rsid w:val="00AD72F1"/>
    <w:rsid w:val="00AF38F8"/>
    <w:rsid w:val="00AF578C"/>
    <w:rsid w:val="00AF7C7B"/>
    <w:rsid w:val="00B0031E"/>
    <w:rsid w:val="00B07F94"/>
    <w:rsid w:val="00B1537D"/>
    <w:rsid w:val="00B16E41"/>
    <w:rsid w:val="00B26D37"/>
    <w:rsid w:val="00B26E79"/>
    <w:rsid w:val="00B324BD"/>
    <w:rsid w:val="00B43A1E"/>
    <w:rsid w:val="00B446AD"/>
    <w:rsid w:val="00B4577C"/>
    <w:rsid w:val="00B46D7A"/>
    <w:rsid w:val="00B528C6"/>
    <w:rsid w:val="00B5311F"/>
    <w:rsid w:val="00B53A41"/>
    <w:rsid w:val="00B645E9"/>
    <w:rsid w:val="00B701F7"/>
    <w:rsid w:val="00B727DD"/>
    <w:rsid w:val="00B74D09"/>
    <w:rsid w:val="00B80100"/>
    <w:rsid w:val="00B84361"/>
    <w:rsid w:val="00B93084"/>
    <w:rsid w:val="00B95C62"/>
    <w:rsid w:val="00B9653D"/>
    <w:rsid w:val="00BA06CE"/>
    <w:rsid w:val="00BA0978"/>
    <w:rsid w:val="00BA63E5"/>
    <w:rsid w:val="00BA7273"/>
    <w:rsid w:val="00BC33B5"/>
    <w:rsid w:val="00BC3701"/>
    <w:rsid w:val="00BF0289"/>
    <w:rsid w:val="00C127EB"/>
    <w:rsid w:val="00C1358F"/>
    <w:rsid w:val="00C17240"/>
    <w:rsid w:val="00C20DD3"/>
    <w:rsid w:val="00C21518"/>
    <w:rsid w:val="00C239A1"/>
    <w:rsid w:val="00C23F43"/>
    <w:rsid w:val="00C24186"/>
    <w:rsid w:val="00C321FF"/>
    <w:rsid w:val="00C3774D"/>
    <w:rsid w:val="00C3791A"/>
    <w:rsid w:val="00C45900"/>
    <w:rsid w:val="00C45AF7"/>
    <w:rsid w:val="00C5486D"/>
    <w:rsid w:val="00C73A11"/>
    <w:rsid w:val="00C77609"/>
    <w:rsid w:val="00C80A7F"/>
    <w:rsid w:val="00C840EC"/>
    <w:rsid w:val="00C8445C"/>
    <w:rsid w:val="00C90183"/>
    <w:rsid w:val="00C90FE0"/>
    <w:rsid w:val="00C92408"/>
    <w:rsid w:val="00C9317B"/>
    <w:rsid w:val="00C94887"/>
    <w:rsid w:val="00CA4E14"/>
    <w:rsid w:val="00CA7BDC"/>
    <w:rsid w:val="00CA7D51"/>
    <w:rsid w:val="00CB06A4"/>
    <w:rsid w:val="00CB50AB"/>
    <w:rsid w:val="00CB6BAF"/>
    <w:rsid w:val="00CC0A21"/>
    <w:rsid w:val="00CC3173"/>
    <w:rsid w:val="00CC5F49"/>
    <w:rsid w:val="00CC6CCC"/>
    <w:rsid w:val="00CE07FD"/>
    <w:rsid w:val="00CE225D"/>
    <w:rsid w:val="00CE38A7"/>
    <w:rsid w:val="00D03D78"/>
    <w:rsid w:val="00D2425C"/>
    <w:rsid w:val="00D32FAD"/>
    <w:rsid w:val="00D33D0F"/>
    <w:rsid w:val="00D374C1"/>
    <w:rsid w:val="00D577EE"/>
    <w:rsid w:val="00D62C00"/>
    <w:rsid w:val="00D64957"/>
    <w:rsid w:val="00D7287C"/>
    <w:rsid w:val="00D74B5B"/>
    <w:rsid w:val="00D87A8E"/>
    <w:rsid w:val="00DA391B"/>
    <w:rsid w:val="00DB1E51"/>
    <w:rsid w:val="00DB5F1D"/>
    <w:rsid w:val="00DC29D5"/>
    <w:rsid w:val="00DC4568"/>
    <w:rsid w:val="00DC5345"/>
    <w:rsid w:val="00DD5EFB"/>
    <w:rsid w:val="00DE345A"/>
    <w:rsid w:val="00E07F72"/>
    <w:rsid w:val="00E12813"/>
    <w:rsid w:val="00E17884"/>
    <w:rsid w:val="00E22931"/>
    <w:rsid w:val="00E31A2F"/>
    <w:rsid w:val="00E33847"/>
    <w:rsid w:val="00E45DE2"/>
    <w:rsid w:val="00E526C7"/>
    <w:rsid w:val="00E538E5"/>
    <w:rsid w:val="00E54451"/>
    <w:rsid w:val="00E66322"/>
    <w:rsid w:val="00E729E6"/>
    <w:rsid w:val="00E92B33"/>
    <w:rsid w:val="00E93A02"/>
    <w:rsid w:val="00EB2BA8"/>
    <w:rsid w:val="00EB4486"/>
    <w:rsid w:val="00EB6072"/>
    <w:rsid w:val="00ED4513"/>
    <w:rsid w:val="00EE3688"/>
    <w:rsid w:val="00EE5558"/>
    <w:rsid w:val="00EE78E5"/>
    <w:rsid w:val="00EF1D61"/>
    <w:rsid w:val="00EF41E1"/>
    <w:rsid w:val="00F031D3"/>
    <w:rsid w:val="00F16D52"/>
    <w:rsid w:val="00F2285A"/>
    <w:rsid w:val="00F25B77"/>
    <w:rsid w:val="00F33694"/>
    <w:rsid w:val="00F34B93"/>
    <w:rsid w:val="00F438BF"/>
    <w:rsid w:val="00F442D9"/>
    <w:rsid w:val="00F5220A"/>
    <w:rsid w:val="00F5287A"/>
    <w:rsid w:val="00F54C4C"/>
    <w:rsid w:val="00F6287D"/>
    <w:rsid w:val="00F66A6C"/>
    <w:rsid w:val="00F67853"/>
    <w:rsid w:val="00F703F7"/>
    <w:rsid w:val="00F72591"/>
    <w:rsid w:val="00F820E7"/>
    <w:rsid w:val="00F93571"/>
    <w:rsid w:val="00F95FF7"/>
    <w:rsid w:val="00FA20A1"/>
    <w:rsid w:val="00FA5812"/>
    <w:rsid w:val="00FA617E"/>
    <w:rsid w:val="00FB55B8"/>
    <w:rsid w:val="00FB60AB"/>
    <w:rsid w:val="00FB686E"/>
    <w:rsid w:val="00FC2CCB"/>
    <w:rsid w:val="00FC3A2E"/>
    <w:rsid w:val="00FE1739"/>
    <w:rsid w:val="00FF0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95124"/>
  <w15:docId w15:val="{8F145584-B3CD-42AA-9667-AC2FF2A51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7A7"/>
    <w:pPr>
      <w:spacing w:after="0" w:line="240" w:lineRule="auto"/>
    </w:pPr>
    <w:rPr>
      <w:rFonts w:ascii="Times New Roman" w:eastAsia="Times New Roman" w:hAnsi="Times New Roman" w:cs="Times New Roman"/>
      <w:kern w:val="0"/>
      <w:sz w:val="24"/>
      <w:szCs w:val="24"/>
      <w:lang w:val="en-GB"/>
    </w:rPr>
  </w:style>
  <w:style w:type="paragraph" w:styleId="Heading1">
    <w:name w:val="heading 1"/>
    <w:basedOn w:val="Normal"/>
    <w:link w:val="Heading1Char"/>
    <w:uiPriority w:val="9"/>
    <w:qFormat/>
    <w:rsid w:val="00CA7BDC"/>
    <w:pPr>
      <w:spacing w:before="100" w:beforeAutospacing="1" w:after="100" w:afterAutospacing="1"/>
      <w:outlineLvl w:val="0"/>
    </w:pPr>
    <w:rPr>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F25B77"/>
    <w:rPr>
      <w:sz w:val="16"/>
      <w:szCs w:val="16"/>
    </w:rPr>
  </w:style>
  <w:style w:type="paragraph" w:styleId="CommentText">
    <w:name w:val="annotation text"/>
    <w:basedOn w:val="Normal"/>
    <w:link w:val="CommentTextChar"/>
    <w:semiHidden/>
    <w:rsid w:val="00F25B77"/>
    <w:rPr>
      <w:sz w:val="20"/>
      <w:szCs w:val="20"/>
    </w:rPr>
  </w:style>
  <w:style w:type="character" w:customStyle="1" w:styleId="CommentTextChar">
    <w:name w:val="Comment Text Char"/>
    <w:basedOn w:val="DefaultParagraphFont"/>
    <w:link w:val="CommentText"/>
    <w:semiHidden/>
    <w:rsid w:val="00F25B77"/>
    <w:rPr>
      <w:rFonts w:ascii="Times New Roman" w:eastAsia="Times New Roman" w:hAnsi="Times New Roman" w:cs="Times New Roman"/>
      <w:kern w:val="0"/>
      <w:sz w:val="20"/>
      <w:szCs w:val="20"/>
      <w:lang w:val="en-GB"/>
    </w:rPr>
  </w:style>
  <w:style w:type="paragraph" w:customStyle="1" w:styleId="paragraph">
    <w:name w:val="paragraph"/>
    <w:basedOn w:val="Normal"/>
    <w:rsid w:val="00F25B77"/>
    <w:pPr>
      <w:spacing w:before="100" w:beforeAutospacing="1" w:after="100" w:afterAutospacing="1"/>
    </w:pPr>
    <w:rPr>
      <w:lang w:val="en-US"/>
    </w:rPr>
  </w:style>
  <w:style w:type="character" w:customStyle="1" w:styleId="normaltextrun">
    <w:name w:val="normaltextrun"/>
    <w:basedOn w:val="DefaultParagraphFont"/>
    <w:rsid w:val="00F25B77"/>
  </w:style>
  <w:style w:type="paragraph" w:styleId="ListParagraph">
    <w:name w:val="List Paragraph"/>
    <w:basedOn w:val="Normal"/>
    <w:link w:val="ListParagraphChar"/>
    <w:uiPriority w:val="34"/>
    <w:qFormat/>
    <w:rsid w:val="00F25B77"/>
    <w:pPr>
      <w:ind w:left="720"/>
      <w:contextualSpacing/>
    </w:pPr>
    <w:rPr>
      <w:lang w:val="en-US" w:eastAsia="ja-JP"/>
    </w:rPr>
  </w:style>
  <w:style w:type="character" w:customStyle="1" w:styleId="ListParagraphChar">
    <w:name w:val="List Paragraph Char"/>
    <w:link w:val="ListParagraph"/>
    <w:uiPriority w:val="34"/>
    <w:locked/>
    <w:rsid w:val="00F25B77"/>
    <w:rPr>
      <w:rFonts w:ascii="Times New Roman" w:eastAsia="Times New Roman" w:hAnsi="Times New Roman" w:cs="Times New Roman"/>
      <w:kern w:val="0"/>
      <w:sz w:val="24"/>
      <w:szCs w:val="24"/>
      <w:lang w:eastAsia="ja-JP"/>
    </w:rPr>
  </w:style>
  <w:style w:type="table" w:styleId="TableGrid">
    <w:name w:val="Table Grid"/>
    <w:basedOn w:val="TableNormal"/>
    <w:uiPriority w:val="39"/>
    <w:rsid w:val="00F25B77"/>
    <w:pPr>
      <w:spacing w:after="0" w:line="240" w:lineRule="auto"/>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F25B77"/>
    <w:pPr>
      <w:spacing w:after="0" w:line="240" w:lineRule="auto"/>
    </w:pPr>
    <w:rPr>
      <w:rFonts w:ascii="Times New Roman" w:eastAsia="Times New Roman" w:hAnsi="Times New Roman" w:cs="Times New Roman"/>
      <w:kern w:val="0"/>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LineNumber">
    <w:name w:val="line number"/>
    <w:basedOn w:val="DefaultParagraphFont"/>
    <w:uiPriority w:val="99"/>
    <w:semiHidden/>
    <w:unhideWhenUsed/>
    <w:rsid w:val="00F25B77"/>
  </w:style>
  <w:style w:type="paragraph" w:styleId="FootnoteText">
    <w:name w:val="footnote text"/>
    <w:basedOn w:val="Normal"/>
    <w:link w:val="FootnoteTextChar"/>
    <w:uiPriority w:val="99"/>
    <w:semiHidden/>
    <w:unhideWhenUsed/>
    <w:rsid w:val="00214444"/>
    <w:rPr>
      <w:sz w:val="20"/>
      <w:szCs w:val="20"/>
    </w:rPr>
  </w:style>
  <w:style w:type="character" w:customStyle="1" w:styleId="FootnoteTextChar">
    <w:name w:val="Footnote Text Char"/>
    <w:basedOn w:val="DefaultParagraphFont"/>
    <w:link w:val="FootnoteText"/>
    <w:uiPriority w:val="99"/>
    <w:semiHidden/>
    <w:rsid w:val="00214444"/>
    <w:rPr>
      <w:rFonts w:ascii="Times New Roman" w:eastAsia="Times New Roman" w:hAnsi="Times New Roman" w:cs="Times New Roman"/>
      <w:kern w:val="0"/>
      <w:sz w:val="20"/>
      <w:szCs w:val="20"/>
      <w:lang w:val="en-GB"/>
    </w:rPr>
  </w:style>
  <w:style w:type="character" w:styleId="FootnoteReference">
    <w:name w:val="footnote reference"/>
    <w:basedOn w:val="DefaultParagraphFont"/>
    <w:uiPriority w:val="99"/>
    <w:semiHidden/>
    <w:unhideWhenUsed/>
    <w:rsid w:val="00214444"/>
    <w:rPr>
      <w:vertAlign w:val="superscript"/>
    </w:rPr>
  </w:style>
  <w:style w:type="character" w:styleId="Hyperlink">
    <w:name w:val="Hyperlink"/>
    <w:basedOn w:val="DefaultParagraphFont"/>
    <w:unhideWhenUsed/>
    <w:rsid w:val="00754372"/>
    <w:rPr>
      <w:color w:val="0000FF"/>
      <w:u w:val="single"/>
    </w:rPr>
  </w:style>
  <w:style w:type="character" w:styleId="Emphasis">
    <w:name w:val="Emphasis"/>
    <w:basedOn w:val="DefaultParagraphFont"/>
    <w:uiPriority w:val="20"/>
    <w:qFormat/>
    <w:rsid w:val="0044283E"/>
    <w:rPr>
      <w:i/>
      <w:iCs/>
    </w:rPr>
  </w:style>
  <w:style w:type="character" w:customStyle="1" w:styleId="Heading1Char">
    <w:name w:val="Heading 1 Char"/>
    <w:basedOn w:val="DefaultParagraphFont"/>
    <w:link w:val="Heading1"/>
    <w:uiPriority w:val="9"/>
    <w:rsid w:val="00CA7BDC"/>
    <w:rPr>
      <w:rFonts w:ascii="Times New Roman" w:eastAsia="Times New Roman" w:hAnsi="Times New Roman" w:cs="Times New Roman"/>
      <w:b/>
      <w:bCs/>
      <w:kern w:val="36"/>
      <w:sz w:val="48"/>
      <w:szCs w:val="48"/>
    </w:rPr>
  </w:style>
  <w:style w:type="paragraph" w:customStyle="1" w:styleId="loaitem">
    <w:name w:val="loa__item"/>
    <w:basedOn w:val="Normal"/>
    <w:rsid w:val="00CA7BDC"/>
    <w:pPr>
      <w:spacing w:before="100" w:beforeAutospacing="1" w:after="100" w:afterAutospacing="1"/>
    </w:pPr>
    <w:rPr>
      <w:lang w:val="en-US"/>
    </w:rPr>
  </w:style>
  <w:style w:type="character" w:styleId="PlaceholderText">
    <w:name w:val="Placeholder Text"/>
    <w:basedOn w:val="DefaultParagraphFont"/>
    <w:uiPriority w:val="99"/>
    <w:semiHidden/>
    <w:rsid w:val="00B1537D"/>
    <w:rPr>
      <w:color w:val="808080"/>
    </w:rPr>
  </w:style>
  <w:style w:type="character" w:customStyle="1" w:styleId="title-text">
    <w:name w:val="title-text"/>
    <w:basedOn w:val="DefaultParagraphFont"/>
    <w:rsid w:val="00904B10"/>
  </w:style>
  <w:style w:type="paragraph" w:styleId="NormalWeb">
    <w:name w:val="Normal (Web)"/>
    <w:basedOn w:val="Normal"/>
    <w:semiHidden/>
    <w:rsid w:val="00316350"/>
    <w:pPr>
      <w:spacing w:before="100" w:beforeAutospacing="1" w:after="100" w:afterAutospacing="1"/>
      <w:ind w:firstLine="216"/>
    </w:pPr>
    <w:rPr>
      <w:rFonts w:ascii="Souvenir Lt BT" w:hAnsi="Souvenir Lt BT"/>
      <w14:ligatures w14:val="none"/>
    </w:rPr>
  </w:style>
  <w:style w:type="paragraph" w:styleId="CommentSubject">
    <w:name w:val="annotation subject"/>
    <w:basedOn w:val="CommentText"/>
    <w:next w:val="CommentText"/>
    <w:link w:val="CommentSubjectChar"/>
    <w:uiPriority w:val="99"/>
    <w:semiHidden/>
    <w:unhideWhenUsed/>
    <w:rsid w:val="00FA20A1"/>
    <w:rPr>
      <w:b/>
      <w:bCs/>
    </w:rPr>
  </w:style>
  <w:style w:type="character" w:customStyle="1" w:styleId="CommentSubjectChar">
    <w:name w:val="Comment Subject Char"/>
    <w:basedOn w:val="CommentTextChar"/>
    <w:link w:val="CommentSubject"/>
    <w:uiPriority w:val="99"/>
    <w:semiHidden/>
    <w:rsid w:val="00FA20A1"/>
    <w:rPr>
      <w:rFonts w:ascii="Times New Roman" w:eastAsia="Times New Roman" w:hAnsi="Times New Roman" w:cs="Times New Roman"/>
      <w:b/>
      <w:bCs/>
      <w:kern w:val="0"/>
      <w:sz w:val="20"/>
      <w:szCs w:val="20"/>
      <w:lang w:val="en-GB"/>
    </w:rPr>
  </w:style>
  <w:style w:type="paragraph" w:styleId="BalloonText">
    <w:name w:val="Balloon Text"/>
    <w:basedOn w:val="Normal"/>
    <w:link w:val="BalloonTextChar"/>
    <w:uiPriority w:val="99"/>
    <w:semiHidden/>
    <w:unhideWhenUsed/>
    <w:rsid w:val="00FA20A1"/>
    <w:rPr>
      <w:rFonts w:ascii="Tahoma" w:hAnsi="Tahoma" w:cs="Tahoma"/>
      <w:sz w:val="16"/>
      <w:szCs w:val="16"/>
    </w:rPr>
  </w:style>
  <w:style w:type="character" w:customStyle="1" w:styleId="BalloonTextChar">
    <w:name w:val="Balloon Text Char"/>
    <w:basedOn w:val="DefaultParagraphFont"/>
    <w:link w:val="BalloonText"/>
    <w:uiPriority w:val="99"/>
    <w:semiHidden/>
    <w:rsid w:val="00FA20A1"/>
    <w:rPr>
      <w:rFonts w:ascii="Tahoma" w:eastAsia="Times New Roman" w:hAnsi="Tahoma" w:cs="Tahoma"/>
      <w:kern w:val="0"/>
      <w:sz w:val="16"/>
      <w:szCs w:val="16"/>
      <w:lang w:val="en-GB"/>
    </w:rPr>
  </w:style>
  <w:style w:type="paragraph" w:styleId="Header">
    <w:name w:val="header"/>
    <w:basedOn w:val="Normal"/>
    <w:link w:val="HeaderChar"/>
    <w:uiPriority w:val="99"/>
    <w:unhideWhenUsed/>
    <w:rsid w:val="009C29CF"/>
    <w:pPr>
      <w:tabs>
        <w:tab w:val="center" w:pos="4513"/>
        <w:tab w:val="right" w:pos="9026"/>
      </w:tabs>
    </w:pPr>
    <w:rPr>
      <w:rFonts w:asciiTheme="minorHAnsi" w:eastAsiaTheme="minorHAnsi" w:hAnsiTheme="minorHAnsi" w:cstheme="minorBidi"/>
      <w:lang w:val="en-ID"/>
      <w14:ligatures w14:val="none"/>
    </w:rPr>
  </w:style>
  <w:style w:type="character" w:customStyle="1" w:styleId="HeaderChar">
    <w:name w:val="Header Char"/>
    <w:basedOn w:val="DefaultParagraphFont"/>
    <w:link w:val="Header"/>
    <w:uiPriority w:val="99"/>
    <w:rsid w:val="009C29CF"/>
    <w:rPr>
      <w:kern w:val="0"/>
      <w:sz w:val="24"/>
      <w:szCs w:val="24"/>
      <w:lang w:val="en-ID"/>
      <w14:ligatures w14:val="none"/>
    </w:rPr>
  </w:style>
  <w:style w:type="paragraph" w:styleId="BodyText">
    <w:name w:val="Body Text"/>
    <w:basedOn w:val="Normal"/>
    <w:link w:val="BodyTextChar"/>
    <w:uiPriority w:val="1"/>
    <w:qFormat/>
    <w:rsid w:val="009C29CF"/>
    <w:pPr>
      <w:widowControl w:val="0"/>
      <w:autoSpaceDE w:val="0"/>
      <w:autoSpaceDN w:val="0"/>
      <w:jc w:val="both"/>
    </w:pPr>
    <w:rPr>
      <w:lang w:val="ms"/>
      <w14:ligatures w14:val="none"/>
    </w:rPr>
  </w:style>
  <w:style w:type="character" w:customStyle="1" w:styleId="BodyTextChar">
    <w:name w:val="Body Text Char"/>
    <w:basedOn w:val="DefaultParagraphFont"/>
    <w:link w:val="BodyText"/>
    <w:uiPriority w:val="1"/>
    <w:rsid w:val="009C29CF"/>
    <w:rPr>
      <w:rFonts w:ascii="Times New Roman" w:eastAsia="Times New Roman" w:hAnsi="Times New Roman" w:cs="Times New Roman"/>
      <w:kern w:val="0"/>
      <w:sz w:val="24"/>
      <w:szCs w:val="24"/>
      <w:lang w:val="ms"/>
      <w14:ligatures w14:val="none"/>
    </w:rPr>
  </w:style>
  <w:style w:type="character" w:customStyle="1" w:styleId="UnresolvedMention1">
    <w:name w:val="Unresolved Mention1"/>
    <w:basedOn w:val="DefaultParagraphFont"/>
    <w:uiPriority w:val="99"/>
    <w:semiHidden/>
    <w:unhideWhenUsed/>
    <w:rsid w:val="0004060E"/>
    <w:rPr>
      <w:color w:val="605E5C"/>
      <w:shd w:val="clear" w:color="auto" w:fill="E1DFDD"/>
    </w:rPr>
  </w:style>
  <w:style w:type="paragraph" w:styleId="Footer">
    <w:name w:val="footer"/>
    <w:basedOn w:val="Normal"/>
    <w:link w:val="FooterChar"/>
    <w:uiPriority w:val="99"/>
    <w:unhideWhenUsed/>
    <w:rsid w:val="006C760B"/>
    <w:pPr>
      <w:tabs>
        <w:tab w:val="center" w:pos="4680"/>
        <w:tab w:val="right" w:pos="9360"/>
      </w:tabs>
    </w:pPr>
  </w:style>
  <w:style w:type="character" w:customStyle="1" w:styleId="FooterChar">
    <w:name w:val="Footer Char"/>
    <w:basedOn w:val="DefaultParagraphFont"/>
    <w:link w:val="Footer"/>
    <w:uiPriority w:val="99"/>
    <w:rsid w:val="006C760B"/>
    <w:rPr>
      <w:rFonts w:ascii="Times New Roman" w:eastAsia="Times New Roman" w:hAnsi="Times New Roman" w:cs="Times New Roman"/>
      <w:kern w:val="0"/>
      <w:sz w:val="24"/>
      <w:szCs w:val="24"/>
      <w:lang w:val="en-GB"/>
    </w:rPr>
  </w:style>
  <w:style w:type="character" w:styleId="UnresolvedMention">
    <w:name w:val="Unresolved Mention"/>
    <w:basedOn w:val="DefaultParagraphFont"/>
    <w:uiPriority w:val="99"/>
    <w:semiHidden/>
    <w:unhideWhenUsed/>
    <w:rsid w:val="00636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660086">
      <w:bodyDiv w:val="1"/>
      <w:marLeft w:val="0"/>
      <w:marRight w:val="0"/>
      <w:marTop w:val="0"/>
      <w:marBottom w:val="0"/>
      <w:divBdr>
        <w:top w:val="none" w:sz="0" w:space="0" w:color="auto"/>
        <w:left w:val="none" w:sz="0" w:space="0" w:color="auto"/>
        <w:bottom w:val="none" w:sz="0" w:space="0" w:color="auto"/>
        <w:right w:val="none" w:sz="0" w:space="0" w:color="auto"/>
      </w:divBdr>
      <w:divsChild>
        <w:div w:id="746457823">
          <w:marLeft w:val="360"/>
          <w:marRight w:val="0"/>
          <w:marTop w:val="0"/>
          <w:marBottom w:val="0"/>
          <w:divBdr>
            <w:top w:val="none" w:sz="0" w:space="0" w:color="auto"/>
            <w:left w:val="none" w:sz="0" w:space="0" w:color="auto"/>
            <w:bottom w:val="none" w:sz="0" w:space="0" w:color="auto"/>
            <w:right w:val="none" w:sz="0" w:space="0" w:color="auto"/>
          </w:divBdr>
        </w:div>
      </w:divsChild>
    </w:div>
    <w:div w:id="310913910">
      <w:bodyDiv w:val="1"/>
      <w:marLeft w:val="0"/>
      <w:marRight w:val="0"/>
      <w:marTop w:val="0"/>
      <w:marBottom w:val="0"/>
      <w:divBdr>
        <w:top w:val="none" w:sz="0" w:space="0" w:color="auto"/>
        <w:left w:val="none" w:sz="0" w:space="0" w:color="auto"/>
        <w:bottom w:val="none" w:sz="0" w:space="0" w:color="auto"/>
        <w:right w:val="none" w:sz="0" w:space="0" w:color="auto"/>
      </w:divBdr>
    </w:div>
    <w:div w:id="364256190">
      <w:bodyDiv w:val="1"/>
      <w:marLeft w:val="0"/>
      <w:marRight w:val="0"/>
      <w:marTop w:val="0"/>
      <w:marBottom w:val="0"/>
      <w:divBdr>
        <w:top w:val="none" w:sz="0" w:space="0" w:color="auto"/>
        <w:left w:val="none" w:sz="0" w:space="0" w:color="auto"/>
        <w:bottom w:val="none" w:sz="0" w:space="0" w:color="auto"/>
        <w:right w:val="none" w:sz="0" w:space="0" w:color="auto"/>
      </w:divBdr>
    </w:div>
    <w:div w:id="448206965">
      <w:bodyDiv w:val="1"/>
      <w:marLeft w:val="0"/>
      <w:marRight w:val="0"/>
      <w:marTop w:val="0"/>
      <w:marBottom w:val="0"/>
      <w:divBdr>
        <w:top w:val="none" w:sz="0" w:space="0" w:color="auto"/>
        <w:left w:val="none" w:sz="0" w:space="0" w:color="auto"/>
        <w:bottom w:val="none" w:sz="0" w:space="0" w:color="auto"/>
        <w:right w:val="none" w:sz="0" w:space="0" w:color="auto"/>
      </w:divBdr>
    </w:div>
    <w:div w:id="863831915">
      <w:bodyDiv w:val="1"/>
      <w:marLeft w:val="0"/>
      <w:marRight w:val="0"/>
      <w:marTop w:val="0"/>
      <w:marBottom w:val="0"/>
      <w:divBdr>
        <w:top w:val="none" w:sz="0" w:space="0" w:color="auto"/>
        <w:left w:val="none" w:sz="0" w:space="0" w:color="auto"/>
        <w:bottom w:val="none" w:sz="0" w:space="0" w:color="auto"/>
        <w:right w:val="none" w:sz="0" w:space="0" w:color="auto"/>
      </w:divBdr>
      <w:divsChild>
        <w:div w:id="148979413">
          <w:marLeft w:val="0"/>
          <w:marRight w:val="0"/>
          <w:marTop w:val="0"/>
          <w:marBottom w:val="0"/>
          <w:divBdr>
            <w:top w:val="none" w:sz="0" w:space="0" w:color="auto"/>
            <w:left w:val="none" w:sz="0" w:space="0" w:color="auto"/>
            <w:bottom w:val="none" w:sz="0" w:space="0" w:color="auto"/>
            <w:right w:val="none" w:sz="0" w:space="0" w:color="auto"/>
          </w:divBdr>
        </w:div>
        <w:div w:id="249241182">
          <w:marLeft w:val="0"/>
          <w:marRight w:val="0"/>
          <w:marTop w:val="0"/>
          <w:marBottom w:val="0"/>
          <w:divBdr>
            <w:top w:val="none" w:sz="0" w:space="0" w:color="auto"/>
            <w:left w:val="none" w:sz="0" w:space="0" w:color="auto"/>
            <w:bottom w:val="none" w:sz="0" w:space="0" w:color="auto"/>
            <w:right w:val="none" w:sz="0" w:space="0" w:color="auto"/>
          </w:divBdr>
        </w:div>
        <w:div w:id="882251643">
          <w:marLeft w:val="0"/>
          <w:marRight w:val="0"/>
          <w:marTop w:val="0"/>
          <w:marBottom w:val="0"/>
          <w:divBdr>
            <w:top w:val="none" w:sz="0" w:space="0" w:color="auto"/>
            <w:left w:val="none" w:sz="0" w:space="0" w:color="auto"/>
            <w:bottom w:val="none" w:sz="0" w:space="0" w:color="auto"/>
            <w:right w:val="none" w:sz="0" w:space="0" w:color="auto"/>
          </w:divBdr>
        </w:div>
        <w:div w:id="928388238">
          <w:marLeft w:val="0"/>
          <w:marRight w:val="0"/>
          <w:marTop w:val="0"/>
          <w:marBottom w:val="0"/>
          <w:divBdr>
            <w:top w:val="none" w:sz="0" w:space="0" w:color="auto"/>
            <w:left w:val="none" w:sz="0" w:space="0" w:color="auto"/>
            <w:bottom w:val="none" w:sz="0" w:space="0" w:color="auto"/>
            <w:right w:val="none" w:sz="0" w:space="0" w:color="auto"/>
          </w:divBdr>
        </w:div>
        <w:div w:id="1339237647">
          <w:marLeft w:val="0"/>
          <w:marRight w:val="0"/>
          <w:marTop w:val="0"/>
          <w:marBottom w:val="0"/>
          <w:divBdr>
            <w:top w:val="none" w:sz="0" w:space="0" w:color="auto"/>
            <w:left w:val="none" w:sz="0" w:space="0" w:color="auto"/>
            <w:bottom w:val="none" w:sz="0" w:space="0" w:color="auto"/>
            <w:right w:val="none" w:sz="0" w:space="0" w:color="auto"/>
          </w:divBdr>
        </w:div>
        <w:div w:id="1675763719">
          <w:marLeft w:val="0"/>
          <w:marRight w:val="0"/>
          <w:marTop w:val="0"/>
          <w:marBottom w:val="0"/>
          <w:divBdr>
            <w:top w:val="none" w:sz="0" w:space="0" w:color="auto"/>
            <w:left w:val="none" w:sz="0" w:space="0" w:color="auto"/>
            <w:bottom w:val="none" w:sz="0" w:space="0" w:color="auto"/>
            <w:right w:val="none" w:sz="0" w:space="0" w:color="auto"/>
          </w:divBdr>
        </w:div>
        <w:div w:id="2067485760">
          <w:marLeft w:val="0"/>
          <w:marRight w:val="0"/>
          <w:marTop w:val="0"/>
          <w:marBottom w:val="0"/>
          <w:divBdr>
            <w:top w:val="none" w:sz="0" w:space="0" w:color="auto"/>
            <w:left w:val="none" w:sz="0" w:space="0" w:color="auto"/>
            <w:bottom w:val="none" w:sz="0" w:space="0" w:color="auto"/>
            <w:right w:val="none" w:sz="0" w:space="0" w:color="auto"/>
          </w:divBdr>
        </w:div>
      </w:divsChild>
    </w:div>
    <w:div w:id="1073351850">
      <w:bodyDiv w:val="1"/>
      <w:marLeft w:val="0"/>
      <w:marRight w:val="0"/>
      <w:marTop w:val="0"/>
      <w:marBottom w:val="0"/>
      <w:divBdr>
        <w:top w:val="none" w:sz="0" w:space="0" w:color="auto"/>
        <w:left w:val="none" w:sz="0" w:space="0" w:color="auto"/>
        <w:bottom w:val="none" w:sz="0" w:space="0" w:color="auto"/>
        <w:right w:val="none" w:sz="0" w:space="0" w:color="auto"/>
      </w:divBdr>
    </w:div>
    <w:div w:id="1245064952">
      <w:bodyDiv w:val="1"/>
      <w:marLeft w:val="0"/>
      <w:marRight w:val="0"/>
      <w:marTop w:val="0"/>
      <w:marBottom w:val="0"/>
      <w:divBdr>
        <w:top w:val="none" w:sz="0" w:space="0" w:color="auto"/>
        <w:left w:val="none" w:sz="0" w:space="0" w:color="auto"/>
        <w:bottom w:val="none" w:sz="0" w:space="0" w:color="auto"/>
        <w:right w:val="none" w:sz="0" w:space="0" w:color="auto"/>
      </w:divBdr>
      <w:divsChild>
        <w:div w:id="1910768926">
          <w:marLeft w:val="360"/>
          <w:marRight w:val="0"/>
          <w:marTop w:val="0"/>
          <w:marBottom w:val="0"/>
          <w:divBdr>
            <w:top w:val="none" w:sz="0" w:space="0" w:color="auto"/>
            <w:left w:val="none" w:sz="0" w:space="0" w:color="auto"/>
            <w:bottom w:val="none" w:sz="0" w:space="0" w:color="auto"/>
            <w:right w:val="none" w:sz="0" w:space="0" w:color="auto"/>
          </w:divBdr>
        </w:div>
      </w:divsChild>
    </w:div>
    <w:div w:id="1250236325">
      <w:bodyDiv w:val="1"/>
      <w:marLeft w:val="0"/>
      <w:marRight w:val="0"/>
      <w:marTop w:val="0"/>
      <w:marBottom w:val="0"/>
      <w:divBdr>
        <w:top w:val="none" w:sz="0" w:space="0" w:color="auto"/>
        <w:left w:val="none" w:sz="0" w:space="0" w:color="auto"/>
        <w:bottom w:val="none" w:sz="0" w:space="0" w:color="auto"/>
        <w:right w:val="none" w:sz="0" w:space="0" w:color="auto"/>
      </w:divBdr>
      <w:divsChild>
        <w:div w:id="1402293605">
          <w:marLeft w:val="360"/>
          <w:marRight w:val="0"/>
          <w:marTop w:val="0"/>
          <w:marBottom w:val="0"/>
          <w:divBdr>
            <w:top w:val="none" w:sz="0" w:space="0" w:color="auto"/>
            <w:left w:val="none" w:sz="0" w:space="0" w:color="auto"/>
            <w:bottom w:val="none" w:sz="0" w:space="0" w:color="auto"/>
            <w:right w:val="none" w:sz="0" w:space="0" w:color="auto"/>
          </w:divBdr>
        </w:div>
      </w:divsChild>
    </w:div>
    <w:div w:id="1744450282">
      <w:bodyDiv w:val="1"/>
      <w:marLeft w:val="0"/>
      <w:marRight w:val="0"/>
      <w:marTop w:val="0"/>
      <w:marBottom w:val="0"/>
      <w:divBdr>
        <w:top w:val="none" w:sz="0" w:space="0" w:color="auto"/>
        <w:left w:val="none" w:sz="0" w:space="0" w:color="auto"/>
        <w:bottom w:val="none" w:sz="0" w:space="0" w:color="auto"/>
        <w:right w:val="none" w:sz="0" w:space="0" w:color="auto"/>
      </w:divBdr>
    </w:div>
    <w:div w:id="1818768255">
      <w:bodyDiv w:val="1"/>
      <w:marLeft w:val="0"/>
      <w:marRight w:val="0"/>
      <w:marTop w:val="0"/>
      <w:marBottom w:val="0"/>
      <w:divBdr>
        <w:top w:val="none" w:sz="0" w:space="0" w:color="auto"/>
        <w:left w:val="none" w:sz="0" w:space="0" w:color="auto"/>
        <w:bottom w:val="none" w:sz="0" w:space="0" w:color="auto"/>
        <w:right w:val="none" w:sz="0" w:space="0" w:color="auto"/>
      </w:divBdr>
    </w:div>
    <w:div w:id="2048335974">
      <w:bodyDiv w:val="1"/>
      <w:marLeft w:val="0"/>
      <w:marRight w:val="0"/>
      <w:marTop w:val="0"/>
      <w:marBottom w:val="0"/>
      <w:divBdr>
        <w:top w:val="none" w:sz="0" w:space="0" w:color="auto"/>
        <w:left w:val="none" w:sz="0" w:space="0" w:color="auto"/>
        <w:bottom w:val="none" w:sz="0" w:space="0" w:color="auto"/>
        <w:right w:val="none" w:sz="0" w:space="0" w:color="auto"/>
      </w:divBdr>
      <w:divsChild>
        <w:div w:id="117113998">
          <w:marLeft w:val="0"/>
          <w:marRight w:val="0"/>
          <w:marTop w:val="0"/>
          <w:marBottom w:val="0"/>
          <w:divBdr>
            <w:top w:val="none" w:sz="0" w:space="0" w:color="auto"/>
            <w:left w:val="none" w:sz="0" w:space="0" w:color="auto"/>
            <w:bottom w:val="none" w:sz="0" w:space="0" w:color="auto"/>
            <w:right w:val="none" w:sz="0" w:space="0" w:color="auto"/>
          </w:divBdr>
        </w:div>
        <w:div w:id="128936629">
          <w:marLeft w:val="0"/>
          <w:marRight w:val="0"/>
          <w:marTop w:val="0"/>
          <w:marBottom w:val="0"/>
          <w:divBdr>
            <w:top w:val="none" w:sz="0" w:space="0" w:color="auto"/>
            <w:left w:val="none" w:sz="0" w:space="0" w:color="auto"/>
            <w:bottom w:val="none" w:sz="0" w:space="0" w:color="auto"/>
            <w:right w:val="none" w:sz="0" w:space="0" w:color="auto"/>
          </w:divBdr>
        </w:div>
        <w:div w:id="890578770">
          <w:marLeft w:val="0"/>
          <w:marRight w:val="0"/>
          <w:marTop w:val="0"/>
          <w:marBottom w:val="0"/>
          <w:divBdr>
            <w:top w:val="none" w:sz="0" w:space="0" w:color="auto"/>
            <w:left w:val="none" w:sz="0" w:space="0" w:color="auto"/>
            <w:bottom w:val="none" w:sz="0" w:space="0" w:color="auto"/>
            <w:right w:val="none" w:sz="0" w:space="0" w:color="auto"/>
          </w:divBdr>
        </w:div>
        <w:div w:id="925260084">
          <w:marLeft w:val="0"/>
          <w:marRight w:val="0"/>
          <w:marTop w:val="0"/>
          <w:marBottom w:val="0"/>
          <w:divBdr>
            <w:top w:val="none" w:sz="0" w:space="0" w:color="auto"/>
            <w:left w:val="none" w:sz="0" w:space="0" w:color="auto"/>
            <w:bottom w:val="none" w:sz="0" w:space="0" w:color="auto"/>
            <w:right w:val="none" w:sz="0" w:space="0" w:color="auto"/>
          </w:divBdr>
        </w:div>
        <w:div w:id="956326917">
          <w:marLeft w:val="0"/>
          <w:marRight w:val="0"/>
          <w:marTop w:val="0"/>
          <w:marBottom w:val="0"/>
          <w:divBdr>
            <w:top w:val="none" w:sz="0" w:space="0" w:color="auto"/>
            <w:left w:val="none" w:sz="0" w:space="0" w:color="auto"/>
            <w:bottom w:val="none" w:sz="0" w:space="0" w:color="auto"/>
            <w:right w:val="none" w:sz="0" w:space="0" w:color="auto"/>
          </w:divBdr>
        </w:div>
        <w:div w:id="1417442135">
          <w:marLeft w:val="0"/>
          <w:marRight w:val="0"/>
          <w:marTop w:val="0"/>
          <w:marBottom w:val="0"/>
          <w:divBdr>
            <w:top w:val="none" w:sz="0" w:space="0" w:color="auto"/>
            <w:left w:val="none" w:sz="0" w:space="0" w:color="auto"/>
            <w:bottom w:val="none" w:sz="0" w:space="0" w:color="auto"/>
            <w:right w:val="none" w:sz="0" w:space="0" w:color="auto"/>
          </w:divBdr>
        </w:div>
        <w:div w:id="19084132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reativecommons.org/licenses/by-nc-sa/4.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eativecommons.org/licenses/by-nc-sa/4.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uin-alauddin.ac.id/index.php/alami/article/view/41777" TargetMode="External"/><Relationship Id="rId5" Type="http://schemas.openxmlformats.org/officeDocument/2006/relationships/webSettings" Target="webSettings.xml"/><Relationship Id="rId15" Type="http://schemas.openxmlformats.org/officeDocument/2006/relationships/hyperlink" Target="https://creativecommons.org/licenses/by-nc-sa/4.0/"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irdaus.hamid@med.unhas.ac.id" TargetMode="External"/><Relationship Id="rId14" Type="http://schemas.openxmlformats.org/officeDocument/2006/relationships/hyperlink" Target="https://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5A52D-6067-4117-9B6B-5970110B3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14012</Words>
  <Characters>79870</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Valentine Hurse</dc:creator>
  <cp:lastModifiedBy>hardiyantiasyik@outlook.com</cp:lastModifiedBy>
  <cp:revision>12</cp:revision>
  <cp:lastPrinted>2024-01-31T07:26:00Z</cp:lastPrinted>
  <dcterms:created xsi:type="dcterms:W3CDTF">2024-01-14T04:01:00Z</dcterms:created>
  <dcterms:modified xsi:type="dcterms:W3CDTF">2024-01-31T07:28:00Z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http://www.zotero.org/styles/vancouver</vt:lpwstr>
  </property>
  <property fmtid="{D5CDD505-2E9C-101B-9397-08002B2CF9AE}" pid="4" name="Mendeley Unique User Id_1">
    <vt:lpwstr>1cb9cc32-7e66-324e-90d8-187b990c8c29</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